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g" ContentType="image/jpg"/>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spacing w:before="1" w:after="0" w:line="190" w:lineRule="exact"/>
        <w:jc w:val="left"/>
        <w:rPr>
          <w:sz w:val="19"/>
          <w:szCs w:val="19"/>
        </w:rPr>
      </w:pPr>
      <w:r>
        <w:rPr>
          <w:sz w:val="19"/>
          <w:szCs w:val="19"/>
        </w:rPr>
      </w:r>
    </w:p>
    <w:p>
      <w:pPr>
        <w:spacing w:line="190" w:lineRule="exact" w:after="0"/>
        <w:jc w:val="left"/>
        <w:rPr>
          <w:sz w:val="19"/>
          <w:szCs w:val="19"/>
        </w:rPr>
        <w:sectPr>
          <w:headerReference w:type="default" r:id="rId5"/>
          <w:footerReference w:type="default" r:id="rId6"/>
          <w:type w:val="continuous"/>
          <w:pgSz w:w="11900" w:h="16820"/>
          <w:pgMar w:header="299" w:footer="1582" w:top="1040" w:bottom="1780" w:left="620" w:right="520"/>
          <w:pgNumType w:start="1"/>
        </w:sectPr>
      </w:pPr>
    </w:p>
    <w:p>
      <w:pPr>
        <w:spacing w:before="0" w:after="0" w:line="284" w:lineRule="exact"/>
        <w:ind w:left="137" w:right="-73"/>
        <w:jc w:val="left"/>
        <w:rPr>
          <w:rFonts w:ascii="Arial Unicode MS" w:hAnsi="Arial Unicode MS" w:cs="Arial Unicode MS" w:eastAsia="Arial Unicode MS"/>
          <w:sz w:val="22"/>
          <w:szCs w:val="22"/>
        </w:rPr>
      </w:pPr>
      <w:r>
        <w:rPr/>
        <w:pict>
          <v:group style="position:absolute;margin-left:145.850006pt;margin-top:20.764025pt;width:414pt;height:.1pt;mso-position-horizontal-relative:page;mso-position-vertical-relative:paragraph;z-index:-355" coordorigin="2917,415" coordsize="8280,2">
            <v:shape style="position:absolute;left:2917;top:415;width:8280;height:2" coordorigin="2917,415" coordsize="8280,0" path="m2917,415l11197,415e" filled="f" stroked="t" strokeweight="1.5pt" strokecolor="#000000">
              <v:path arrowok="t"/>
            </v:shape>
            <w10:wrap type="none"/>
          </v:group>
        </w:pict>
      </w:r>
      <w:r>
        <w:rPr>
          <w:rFonts w:ascii="Arial Unicode MS" w:hAnsi="Arial Unicode MS" w:cs="Arial Unicode MS" w:eastAsia="Arial Unicode MS"/>
          <w:spacing w:val="0"/>
          <w:w w:val="100"/>
          <w:position w:val="0"/>
          <w:sz w:val="22"/>
          <w:szCs w:val="22"/>
        </w:rPr>
        <w:t>产品概述</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一种无焦油、浅色环氧涂料。</w:t>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1018" w:space="1294"/>
            <w:col w:w="8448"/>
          </w:cols>
        </w:sectPr>
      </w:pPr>
    </w:p>
    <w:p>
      <w:pPr>
        <w:spacing w:before="7" w:after="0" w:line="200" w:lineRule="exact"/>
        <w:jc w:val="left"/>
        <w:rPr>
          <w:sz w:val="20"/>
          <w:szCs w:val="20"/>
        </w:rPr>
      </w:pPr>
      <w:r>
        <w:rPr>
          <w:sz w:val="20"/>
          <w:szCs w:val="20"/>
        </w:rPr>
      </w:r>
    </w:p>
    <w:p>
      <w:pPr>
        <w:spacing w:line="200" w:lineRule="exact" w:after="0"/>
        <w:jc w:val="left"/>
        <w:rPr>
          <w:sz w:val="20"/>
          <w:szCs w:val="20"/>
        </w:rPr>
        <w:sectPr>
          <w:type w:val="continuous"/>
          <w:pgSz w:w="11900" w:h="16820"/>
          <w:pgMar w:top="1040" w:bottom="1780" w:left="620" w:right="520"/>
        </w:sectPr>
      </w:pPr>
    </w:p>
    <w:p>
      <w:pPr>
        <w:spacing w:before="0" w:after="0" w:line="299"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预期用途</w:t>
      </w:r>
    </w:p>
    <w:p>
      <w:pPr>
        <w:spacing w:before="7" w:after="0" w:line="185" w:lineRule="auto"/>
        <w:ind w:right="1841"/>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用作压载舱、水下船体、隔离舱和空舱内的高性能防锈漆。适于与控制型阴极保护一起使用。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用于新造船或维修和保养。</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1018" w:space="1279"/>
            <w:col w:w="8463"/>
          </w:cols>
        </w:sectPr>
      </w:pPr>
    </w:p>
    <w:p>
      <w:pPr>
        <w:spacing w:before="12" w:after="0" w:line="220" w:lineRule="exact"/>
        <w:jc w:val="left"/>
        <w:rPr>
          <w:sz w:val="22"/>
          <w:szCs w:val="22"/>
        </w:rPr>
      </w:pPr>
      <w:r>
        <w:rPr>
          <w:sz w:val="22"/>
          <w:szCs w:val="22"/>
        </w:rPr>
      </w:r>
    </w:p>
    <w:p>
      <w:pPr>
        <w:spacing w:line="220" w:lineRule="exact" w:after="0"/>
        <w:jc w:val="left"/>
        <w:rPr>
          <w:sz w:val="22"/>
          <w:szCs w:val="22"/>
        </w:rPr>
        <w:sectPr>
          <w:type w:val="continuous"/>
          <w:pgSz w:w="11900" w:h="16820"/>
          <w:pgMar w:top="1040" w:bottom="1780" w:left="620" w:right="520"/>
        </w:sectPr>
      </w:pPr>
    </w:p>
    <w:p>
      <w:pPr>
        <w:tabs>
          <w:tab w:pos="2280" w:val="left"/>
        </w:tabs>
        <w:spacing w:before="0" w:after="0" w:line="299" w:lineRule="exact"/>
        <w:ind w:left="137" w:right="-73"/>
        <w:jc w:val="left"/>
        <w:rPr>
          <w:rFonts w:ascii="Arial Unicode MS" w:hAnsi="Arial Unicode MS" w:cs="Arial Unicode MS" w:eastAsia="Arial Unicode MS"/>
          <w:sz w:val="22"/>
          <w:szCs w:val="22"/>
        </w:rPr>
      </w:pPr>
      <w:r>
        <w:rPr/>
        <w:pict>
          <v:group style="position:absolute;margin-left:145.850006pt;margin-top:-3.757876pt;width:414pt;height:.1pt;mso-position-horizontal-relative:page;mso-position-vertical-relative:paragraph;z-index:-354" coordorigin="2917,-75" coordsize="8280,2">
            <v:shape style="position:absolute;left:2917;top:-75;width:8280;height:2" coordorigin="2917,-75" coordsize="8280,0" path="m2917,-75l11197,-75e" filled="f" stroked="t" strokeweight="1.5pt" strokecolor="#000000">
              <v:path arrowok="t"/>
            </v:shape>
            <w10:wrap type="none"/>
          </v:group>
        </w:pict>
      </w:r>
      <w:r>
        <w:rPr>
          <w:rFonts w:ascii="Arial Unicode MS" w:hAnsi="Arial Unicode MS" w:cs="Arial Unicode MS" w:eastAsia="Arial Unicode MS"/>
          <w:spacing w:val="0"/>
          <w:w w:val="100"/>
          <w:sz w:val="22"/>
          <w:szCs w:val="22"/>
        </w:rPr>
        <w:t>产品信息</w:t>
        <w:tab/>
      </w:r>
      <w:r>
        <w:rPr>
          <w:rFonts w:ascii="Arial Unicode MS" w:hAnsi="Arial Unicode MS" w:cs="Arial Unicode MS" w:eastAsia="Arial Unicode MS"/>
          <w:spacing w:val="0"/>
          <w:w w:val="100"/>
          <w:sz w:val="22"/>
          <w:szCs w:val="22"/>
        </w:rPr>
        <w:t>颜色</w:t>
      </w:r>
    </w:p>
    <w:p>
      <w:pPr>
        <w:spacing w:before="7" w:after="0" w:line="185" w:lineRule="auto"/>
        <w:ind w:right="659"/>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KBA400-浅黄色,</w:t>
      </w:r>
      <w:r>
        <w:rPr>
          <w:rFonts w:ascii="Arial Unicode MS" w:hAnsi="Arial Unicode MS" w:cs="Arial Unicode MS" w:eastAsia="Arial Unicode MS"/>
          <w:spacing w:val="-12"/>
          <w:w w:val="100"/>
          <w:sz w:val="16"/>
          <w:szCs w:val="16"/>
        </w:rPr>
        <w:t> </w:t>
      </w:r>
      <w:r>
        <w:rPr>
          <w:rFonts w:ascii="Arial Unicode MS" w:hAnsi="Arial Unicode MS" w:cs="Arial Unicode MS" w:eastAsia="Arial Unicode MS"/>
          <w:spacing w:val="0"/>
          <w:w w:val="100"/>
          <w:sz w:val="16"/>
          <w:szCs w:val="16"/>
        </w:rPr>
        <w:t>KBA402-灰色,</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(KBA406-浅红色,</w:t>
      </w:r>
      <w:r>
        <w:rPr>
          <w:rFonts w:ascii="Arial Unicode MS" w:hAnsi="Arial Unicode MS" w:cs="Arial Unicode MS" w:eastAsia="Arial Unicode MS"/>
          <w:spacing w:val="-12"/>
          <w:w w:val="100"/>
          <w:sz w:val="16"/>
          <w:szCs w:val="16"/>
        </w:rPr>
        <w:t> </w:t>
      </w:r>
      <w:r>
        <w:rPr>
          <w:rFonts w:ascii="Arial Unicode MS" w:hAnsi="Arial Unicode MS" w:cs="Arial Unicode MS" w:eastAsia="Arial Unicode MS"/>
          <w:spacing w:val="0"/>
          <w:w w:val="100"/>
          <w:sz w:val="16"/>
          <w:szCs w:val="16"/>
        </w:rPr>
        <w:t>KBA412-铝红色,</w:t>
      </w:r>
      <w:r>
        <w:rPr>
          <w:rFonts w:ascii="Arial Unicode MS" w:hAnsi="Arial Unicode MS" w:cs="Arial Unicode MS" w:eastAsia="Arial Unicode MS"/>
          <w:spacing w:val="-12"/>
          <w:w w:val="100"/>
          <w:sz w:val="16"/>
          <w:szCs w:val="16"/>
        </w:rPr>
        <w:t> </w:t>
      </w:r>
      <w:r>
        <w:rPr>
          <w:rFonts w:ascii="Arial Unicode MS" w:hAnsi="Arial Unicode MS" w:cs="Arial Unicode MS" w:eastAsia="Arial Unicode MS"/>
          <w:spacing w:val="0"/>
          <w:w w:val="100"/>
          <w:sz w:val="16"/>
          <w:szCs w:val="16"/>
        </w:rPr>
        <w:t>KBA413-</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浅灰色</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仅可在韩国买到。)</w:t>
      </w:r>
    </w:p>
    <w:p>
      <w:pPr>
        <w:spacing w:before="0" w:after="0" w:line="22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(KBA401-灰白色</w:t>
      </w:r>
      <w:r>
        <w:rPr>
          <w:rFonts w:ascii="Arial Unicode MS" w:hAnsi="Arial Unicode MS" w:cs="Arial Unicode MS" w:eastAsia="Arial Unicode MS"/>
          <w:spacing w:val="-12"/>
          <w:w w:val="100"/>
          <w:sz w:val="16"/>
          <w:szCs w:val="16"/>
        </w:rPr>
        <w:t> </w:t>
      </w:r>
      <w:r>
        <w:rPr>
          <w:rFonts w:ascii="Arial Unicode MS" w:hAnsi="Arial Unicode MS" w:cs="Arial Unicode MS" w:eastAsia="Arial Unicode MS"/>
          <w:spacing w:val="0"/>
          <w:w w:val="100"/>
          <w:sz w:val="16"/>
          <w:szCs w:val="16"/>
        </w:rPr>
        <w:t>仅可在北美买到。)</w:t>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(KBA411-黑色</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仅可在某些亚洲地区买到。。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0"/>
          <w:w w:val="100"/>
          <w:sz w:val="16"/>
          <w:szCs w:val="16"/>
        </w:rPr>
      </w:r>
    </w:p>
    <w:p>
      <w:pPr>
        <w:spacing w:before="0" w:after="0" w:line="203"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16"/>
          <w:szCs w:val="16"/>
        </w:rPr>
        <w:t>Paint)</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咨询。)</w:t>
      </w:r>
      <w:r>
        <w:rPr>
          <w:rFonts w:ascii="Arial Unicode MS" w:hAnsi="Arial Unicode MS" w:cs="Arial Unicode MS" w:eastAsia="Arial Unicode MS"/>
          <w:spacing w:val="0"/>
          <w:w w:val="100"/>
          <w:position w:val="0"/>
          <w:sz w:val="16"/>
          <w:szCs w:val="16"/>
        </w:rPr>
      </w:r>
    </w:p>
    <w:p>
      <w:pPr>
        <w:spacing w:line="203" w:lineRule="exact"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2738" w:space="1935"/>
            <w:col w:w="6087"/>
          </w:cols>
        </w:sectPr>
      </w:pPr>
    </w:p>
    <w:p>
      <w:pPr>
        <w:tabs>
          <w:tab w:pos="4660" w:val="left"/>
        </w:tabs>
        <w:spacing w:before="16" w:after="0" w:line="240" w:lineRule="auto"/>
        <w:ind w:left="2304"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面漆/光泽</w:t>
      </w:r>
      <w:r>
        <w:rPr>
          <w:rFonts w:ascii="Arial Unicode MS" w:hAnsi="Arial Unicode MS" w:cs="Arial Unicode MS" w:eastAsia="Arial Unicode MS"/>
          <w:spacing w:val="0"/>
          <w:w w:val="100"/>
          <w:sz w:val="22"/>
          <w:szCs w:val="22"/>
        </w:rPr>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光泽</w:t>
      </w:r>
      <w:r>
        <w:rPr>
          <w:rFonts w:ascii="Arial Unicode MS" w:hAnsi="Arial Unicode MS" w:cs="Arial Unicode MS" w:eastAsia="Arial Unicode MS"/>
          <w:spacing w:val="0"/>
          <w:w w:val="100"/>
          <w:position w:val="0"/>
          <w:sz w:val="16"/>
          <w:szCs w:val="16"/>
        </w:rPr>
      </w:r>
    </w:p>
    <w:p>
      <w:pPr>
        <w:tabs>
          <w:tab w:pos="4660" w:val="left"/>
        </w:tabs>
        <w:spacing w:before="0" w:after="0" w:line="349"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2"/>
          <w:sz w:val="22"/>
          <w:szCs w:val="22"/>
        </w:rPr>
        <w:t>乙组份（固化剂）</w:t>
        <w:tab/>
      </w:r>
      <w:r>
        <w:rPr>
          <w:rFonts w:ascii="Arial Unicode MS" w:hAnsi="Arial Unicode MS" w:cs="Arial Unicode MS" w:eastAsia="Arial Unicode MS"/>
          <w:spacing w:val="0"/>
          <w:w w:val="100"/>
          <w:position w:val="-2"/>
          <w:sz w:val="22"/>
          <w:szCs w:val="22"/>
        </w:rPr>
      </w:r>
      <w:r>
        <w:rPr>
          <w:rFonts w:ascii="Arial Unicode MS" w:hAnsi="Arial Unicode MS" w:cs="Arial Unicode MS" w:eastAsia="Arial Unicode MS"/>
          <w:spacing w:val="0"/>
          <w:w w:val="100"/>
          <w:position w:val="3"/>
          <w:sz w:val="16"/>
          <w:szCs w:val="16"/>
        </w:rPr>
        <w:t>KBA403</w:t>
      </w:r>
      <w:r>
        <w:rPr>
          <w:rFonts w:ascii="Arial Unicode MS" w:hAnsi="Arial Unicode MS" w:cs="Arial Unicode MS" w:eastAsia="Arial Unicode MS"/>
          <w:spacing w:val="0"/>
          <w:w w:val="100"/>
          <w:position w:val="0"/>
          <w:sz w:val="16"/>
          <w:szCs w:val="16"/>
        </w:rPr>
      </w:r>
    </w:p>
    <w:p>
      <w:pPr>
        <w:spacing w:line="349" w:lineRule="exact" w:after="0"/>
        <w:jc w:val="left"/>
        <w:rPr>
          <w:rFonts w:ascii="Arial Unicode MS" w:hAnsi="Arial Unicode MS" w:cs="Arial Unicode MS" w:eastAsia="Arial Unicode MS"/>
          <w:sz w:val="16"/>
          <w:szCs w:val="16"/>
        </w:rPr>
        <w:sectPr>
          <w:type w:val="continuous"/>
          <w:pgSz w:w="11900" w:h="16820"/>
          <w:pgMar w:top="1040" w:bottom="1780" w:left="620" w:right="520"/>
        </w:sectPr>
      </w:pPr>
    </w:p>
    <w:p>
      <w:pPr>
        <w:spacing w:before="0" w:after="0" w:line="366" w:lineRule="exact"/>
        <w:ind w:right="-20"/>
        <w:jc w:val="righ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2"/>
          <w:sz w:val="22"/>
          <w:szCs w:val="22"/>
        </w:rPr>
        <w:t>体积固体份</w:t>
      </w:r>
      <w:r>
        <w:rPr>
          <w:rFonts w:ascii="Arial Unicode MS" w:hAnsi="Arial Unicode MS" w:cs="Arial Unicode MS" w:eastAsia="Arial Unicode MS"/>
          <w:spacing w:val="0"/>
          <w:w w:val="100"/>
          <w:position w:val="0"/>
          <w:sz w:val="22"/>
          <w:szCs w:val="22"/>
        </w:rPr>
      </w:r>
    </w:p>
    <w:p>
      <w:pPr>
        <w:spacing w:before="39"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68％</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3233:1998)</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3398" w:space="1275"/>
            <w:col w:w="6087"/>
          </w:cols>
        </w:sectPr>
      </w:pPr>
    </w:p>
    <w:p>
      <w:pPr>
        <w:spacing w:before="6" w:after="0" w:line="160" w:lineRule="exact"/>
        <w:jc w:val="left"/>
        <w:rPr>
          <w:sz w:val="16"/>
          <w:szCs w:val="16"/>
        </w:rPr>
      </w:pPr>
      <w:r>
        <w:rPr>
          <w:sz w:val="16"/>
          <w:szCs w:val="16"/>
        </w:rPr>
      </w:r>
    </w:p>
    <w:p>
      <w:pPr>
        <w:tabs>
          <w:tab w:pos="4660" w:val="left"/>
        </w:tabs>
        <w:spacing w:before="0" w:after="0" w:line="286"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22"/>
          <w:szCs w:val="22"/>
        </w:rPr>
        <w:t>混合比例</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甲组份：乙组份=4.00：1</w:t>
      </w:r>
      <w:r>
        <w:rPr>
          <w:rFonts w:ascii="Arial Unicode MS" w:hAnsi="Arial Unicode MS" w:cs="Arial Unicode MS" w:eastAsia="Arial Unicode MS"/>
          <w:spacing w:val="-18"/>
          <w:w w:val="100"/>
          <w:position w:val="4"/>
          <w:sz w:val="16"/>
          <w:szCs w:val="16"/>
        </w:rPr>
        <w:t> </w:t>
      </w:r>
      <w:r>
        <w:rPr>
          <w:rFonts w:ascii="Arial Unicode MS" w:hAnsi="Arial Unicode MS" w:cs="Arial Unicode MS" w:eastAsia="Arial Unicode MS"/>
          <w:spacing w:val="0"/>
          <w:w w:val="100"/>
          <w:position w:val="4"/>
          <w:sz w:val="16"/>
          <w:szCs w:val="16"/>
        </w:rPr>
        <w:t>(体积比)</w:t>
      </w:r>
      <w:r>
        <w:rPr>
          <w:rFonts w:ascii="Arial Unicode MS" w:hAnsi="Arial Unicode MS" w:cs="Arial Unicode MS" w:eastAsia="Arial Unicode MS"/>
          <w:spacing w:val="0"/>
          <w:w w:val="100"/>
          <w:position w:val="0"/>
          <w:sz w:val="16"/>
          <w:szCs w:val="16"/>
        </w:rPr>
      </w:r>
    </w:p>
    <w:p>
      <w:pPr>
        <w:spacing w:before="0" w:after="0" w:line="149" w:lineRule="exact"/>
        <w:ind w:left="4672"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在韩国，3</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份甲组份与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份乙组份作为一组供应</w:t>
      </w:r>
    </w:p>
    <w:p>
      <w:pPr>
        <w:spacing w:line="149" w:lineRule="exact" w:after="0"/>
        <w:jc w:val="left"/>
        <w:rPr>
          <w:rFonts w:ascii="Arial Unicode MS" w:hAnsi="Arial Unicode MS" w:cs="Arial Unicode MS" w:eastAsia="Arial Unicode MS"/>
          <w:sz w:val="16"/>
          <w:szCs w:val="16"/>
        </w:rPr>
        <w:sectPr>
          <w:type w:val="continuous"/>
          <w:pgSz w:w="11900" w:h="16820"/>
          <w:pgMar w:top="1040" w:bottom="1780" w:left="620" w:right="520"/>
        </w:sectPr>
      </w:pPr>
    </w:p>
    <w:p>
      <w:pPr>
        <w:spacing w:before="48" w:after="0" w:line="230" w:lineRule="auto"/>
        <w:ind w:left="2291"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标准膜厚</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理论涂布率</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施工方法</w:t>
      </w:r>
    </w:p>
    <w:p>
      <w:pPr>
        <w:spacing w:before="72"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125</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(184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微米湿膜厚)</w:t>
      </w:r>
    </w:p>
    <w:p>
      <w:pPr>
        <w:spacing w:before="24" w:after="0" w:line="370" w:lineRule="exact"/>
        <w:ind w:right="1013"/>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125</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微米干膜厚时理论涂布率为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5.44</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米²/公升，允许适当的损耗系数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无气喷涂,</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漆辊,</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刷涂</w:t>
      </w:r>
    </w:p>
    <w:p>
      <w:pPr>
        <w:spacing w:line="370" w:lineRule="exact"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3392" w:space="1281"/>
            <w:col w:w="6087"/>
          </w:cols>
        </w:sectPr>
      </w:pPr>
    </w:p>
    <w:p>
      <w:pPr>
        <w:tabs>
          <w:tab w:pos="4660" w:val="left"/>
        </w:tabs>
        <w:spacing w:before="60" w:after="0" w:line="172" w:lineRule="auto"/>
        <w:ind w:left="4672" w:right="706" w:hanging="2381"/>
        <w:jc w:val="both"/>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闪点</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甲组份</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26°C;</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乙组份</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33°C;</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混合后</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27°C</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(在北美生产和供应的产品，由于采</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用当地溶剂，其闪点分别为甲组份</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43°C、</w:t>
      </w:r>
      <w:r>
        <w:rPr>
          <w:rFonts w:ascii="Arial Unicode MS" w:hAnsi="Arial Unicode MS" w:cs="Arial Unicode MS" w:eastAsia="Arial Unicode MS"/>
          <w:spacing w:val="-5"/>
          <w:w w:val="100"/>
          <w:position w:val="0"/>
          <w:sz w:val="16"/>
          <w:szCs w:val="16"/>
        </w:rPr>
        <w:t> </w:t>
      </w:r>
      <w:r>
        <w:rPr>
          <w:rFonts w:ascii="Arial Unicode MS" w:hAnsi="Arial Unicode MS" w:cs="Arial Unicode MS" w:eastAsia="Arial Unicode MS"/>
          <w:spacing w:val="0"/>
          <w:w w:val="100"/>
          <w:position w:val="0"/>
          <w:sz w:val="16"/>
          <w:szCs w:val="16"/>
        </w:rPr>
        <w:t>乙组份</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39°C</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以及混合后</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39°C。</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对产品性能没有不利影响)。</w:t>
      </w:r>
    </w:p>
    <w:p>
      <w:pPr>
        <w:tabs>
          <w:tab w:pos="4660" w:val="left"/>
        </w:tabs>
        <w:spacing w:before="0" w:after="0" w:line="368" w:lineRule="exact"/>
        <w:ind w:left="2291" w:right="-20"/>
        <w:jc w:val="left"/>
        <w:rPr>
          <w:rFonts w:ascii="Arial Unicode MS" w:hAnsi="Arial Unicode MS" w:cs="Arial Unicode MS" w:eastAsia="Arial Unicode MS"/>
          <w:sz w:val="16"/>
          <w:szCs w:val="16"/>
        </w:rPr>
      </w:pPr>
      <w:r>
        <w:rPr/>
        <w:pict>
          <v:group style="position:absolute;margin-left:145.570007pt;margin-top:31.310381pt;width:414.0pt;height:.1pt;mso-position-horizontal-relative:page;mso-position-vertical-relative:paragraph;z-index:-352" coordorigin="2911,626" coordsize="8280,2">
            <v:shape style="position:absolute;left:2911;top:626;width:8280;height:2" coordorigin="2911,626" coordsize="8280,0" path="m2911,626l11191,626e" filled="f" stroked="t" strokeweight="1.5pt" strokecolor="#000000">
              <v:path arrowok="t"/>
            </v:shape>
            <w10:wrap type="none"/>
          </v:group>
        </w:pict>
      </w:r>
      <w:r>
        <w:rPr>
          <w:rFonts w:ascii="Arial Unicode MS" w:hAnsi="Arial Unicode MS" w:cs="Arial Unicode MS" w:eastAsia="Arial Unicode MS"/>
          <w:spacing w:val="0"/>
          <w:w w:val="100"/>
          <w:position w:val="-1"/>
          <w:sz w:val="22"/>
          <w:szCs w:val="22"/>
        </w:rPr>
        <w:t>熟化时间</w:t>
        <w:tab/>
      </w:r>
      <w:r>
        <w:rPr>
          <w:rFonts w:ascii="Arial Unicode MS" w:hAnsi="Arial Unicode MS" w:cs="Arial Unicode MS" w:eastAsia="Arial Unicode MS"/>
          <w:spacing w:val="0"/>
          <w:w w:val="100"/>
          <w:position w:val="-1"/>
          <w:sz w:val="22"/>
          <w:szCs w:val="22"/>
        </w:rPr>
      </w:r>
      <w:r>
        <w:rPr>
          <w:rFonts w:ascii="Arial Unicode MS" w:hAnsi="Arial Unicode MS" w:cs="Arial Unicode MS" w:eastAsia="Arial Unicode MS"/>
          <w:spacing w:val="0"/>
          <w:w w:val="100"/>
          <w:position w:val="4"/>
          <w:sz w:val="16"/>
          <w:szCs w:val="16"/>
        </w:rPr>
        <w:t>在温度低于</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25°C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时为</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15</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分钟</w:t>
      </w:r>
      <w:r>
        <w:rPr>
          <w:rFonts w:ascii="Arial Unicode MS" w:hAnsi="Arial Unicode MS" w:cs="Arial Unicode MS" w:eastAsia="Arial Unicode MS"/>
          <w:spacing w:val="0"/>
          <w:w w:val="100"/>
          <w:position w:val="0"/>
          <w:sz w:val="16"/>
          <w:szCs w:val="16"/>
        </w:rPr>
      </w:r>
    </w:p>
    <w:p>
      <w:pPr>
        <w:spacing w:before="13" w:after="0" w:line="260" w:lineRule="exact"/>
        <w:jc w:val="left"/>
        <w:rPr>
          <w:sz w:val="26"/>
          <w:szCs w:val="26"/>
        </w:rPr>
      </w:pPr>
      <w:r>
        <w:rPr>
          <w:sz w:val="26"/>
          <w:szCs w:val="26"/>
        </w:rPr>
      </w:r>
    </w:p>
    <w:tbl>
      <w:tblPr>
        <w:tblW w:w="0" w:type="auto"/>
        <w:jc w:val="left"/>
        <w:tblInd w:w="2223" w:type="dxa"/>
        <w:tblLayout w:type="fixed"/>
        <w:tblCellMar>
          <w:top w:w="0" w:type="dxa"/>
          <w:left w:w="0" w:type="dxa"/>
          <w:bottom w:w="0" w:type="dxa"/>
          <w:right w:w="0" w:type="dxa"/>
        </w:tblCellMar>
        <w:tblLook w:val="01E0"/>
      </w:tblPr>
      <w:tblGrid/>
      <w:tr>
        <w:trPr>
          <w:trHeight w:val="453" w:hRule="exact"/>
        </w:trPr>
        <w:tc>
          <w:tcPr>
            <w:tcW w:w="2351" w:type="dxa"/>
            <w:tcBorders>
              <w:top w:val="nil" w:sz="6" w:space="0" w:color="auto"/>
              <w:left w:val="nil" w:sz="6" w:space="0" w:color="auto"/>
              <w:bottom w:val="nil" w:sz="6" w:space="0" w:color="auto"/>
              <w:right w:val="nil" w:sz="6" w:space="0" w:color="auto"/>
            </w:tcBorders>
          </w:tcPr>
          <w:p>
            <w:pPr>
              <w:spacing w:before="93" w:after="0" w:line="240" w:lineRule="auto"/>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干燥资料</w:t>
            </w:r>
          </w:p>
        </w:tc>
        <w:tc>
          <w:tcPr>
            <w:tcW w:w="1265" w:type="dxa"/>
            <w:tcBorders>
              <w:top w:val="single" w:sz="12" w:space="0" w:color="000000"/>
              <w:left w:val="nil" w:sz="6" w:space="0" w:color="auto"/>
              <w:bottom w:val="single" w:sz="4" w:space="0" w:color="000000"/>
              <w:right w:val="nil" w:sz="6" w:space="0" w:color="auto"/>
            </w:tcBorders>
          </w:tcPr>
          <w:p>
            <w:pPr>
              <w:spacing w:before="93" w:after="0" w:line="240" w:lineRule="auto"/>
              <w:ind w:left="397" w:right="55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5°C</w:t>
            </w:r>
            <w:r>
              <w:rPr>
                <w:rFonts w:ascii="Arial Unicode MS" w:hAnsi="Arial Unicode MS" w:cs="Arial Unicode MS" w:eastAsia="Arial Unicode MS"/>
                <w:spacing w:val="0"/>
                <w:w w:val="100"/>
                <w:sz w:val="14"/>
                <w:szCs w:val="14"/>
              </w:rPr>
            </w:r>
          </w:p>
        </w:tc>
        <w:tc>
          <w:tcPr>
            <w:tcW w:w="1440" w:type="dxa"/>
            <w:tcBorders>
              <w:top w:val="single" w:sz="12" w:space="0" w:color="000000"/>
              <w:left w:val="nil" w:sz="6" w:space="0" w:color="auto"/>
              <w:bottom w:val="single" w:sz="4" w:space="0" w:color="000000"/>
              <w:right w:val="nil" w:sz="6" w:space="0" w:color="auto"/>
            </w:tcBorders>
          </w:tcPr>
          <w:p>
            <w:pPr>
              <w:spacing w:before="93" w:after="0" w:line="240" w:lineRule="auto"/>
              <w:ind w:left="535" w:right="51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10°C</w:t>
            </w:r>
            <w:r>
              <w:rPr>
                <w:rFonts w:ascii="Arial Unicode MS" w:hAnsi="Arial Unicode MS" w:cs="Arial Unicode MS" w:eastAsia="Arial Unicode MS"/>
                <w:spacing w:val="0"/>
                <w:w w:val="100"/>
                <w:sz w:val="14"/>
                <w:szCs w:val="14"/>
              </w:rPr>
            </w:r>
          </w:p>
        </w:tc>
        <w:tc>
          <w:tcPr>
            <w:tcW w:w="1459" w:type="dxa"/>
            <w:tcBorders>
              <w:top w:val="single" w:sz="12" w:space="0" w:color="000000"/>
              <w:left w:val="nil" w:sz="6" w:space="0" w:color="auto"/>
              <w:bottom w:val="single" w:sz="4" w:space="0" w:color="000000"/>
              <w:right w:val="nil" w:sz="6" w:space="0" w:color="auto"/>
            </w:tcBorders>
          </w:tcPr>
          <w:p>
            <w:pPr>
              <w:spacing w:before="93" w:after="0" w:line="240" w:lineRule="auto"/>
              <w:ind w:left="535" w:right="530"/>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25°C</w:t>
            </w:r>
            <w:r>
              <w:rPr>
                <w:rFonts w:ascii="Arial Unicode MS" w:hAnsi="Arial Unicode MS" w:cs="Arial Unicode MS" w:eastAsia="Arial Unicode MS"/>
                <w:spacing w:val="0"/>
                <w:w w:val="100"/>
                <w:sz w:val="14"/>
                <w:szCs w:val="14"/>
              </w:rPr>
            </w:r>
          </w:p>
        </w:tc>
        <w:tc>
          <w:tcPr>
            <w:tcW w:w="1416" w:type="dxa"/>
            <w:tcBorders>
              <w:top w:val="single" w:sz="12" w:space="0" w:color="000000"/>
              <w:left w:val="nil" w:sz="6" w:space="0" w:color="auto"/>
              <w:bottom w:val="single" w:sz="4" w:space="0" w:color="000000"/>
              <w:right w:val="nil" w:sz="6" w:space="0" w:color="auto"/>
            </w:tcBorders>
          </w:tcPr>
          <w:p>
            <w:pPr>
              <w:spacing w:before="93" w:after="0" w:line="240" w:lineRule="auto"/>
              <w:ind w:left="516" w:right="507"/>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35°C</w:t>
            </w:r>
            <w:r>
              <w:rPr>
                <w:rFonts w:ascii="Arial Unicode MS" w:hAnsi="Arial Unicode MS" w:cs="Arial Unicode MS" w:eastAsia="Arial Unicode MS"/>
                <w:spacing w:val="0"/>
                <w:w w:val="100"/>
                <w:sz w:val="14"/>
                <w:szCs w:val="14"/>
              </w:rPr>
            </w:r>
          </w:p>
        </w:tc>
      </w:tr>
      <w:tr>
        <w:trPr>
          <w:trHeight w:val="826" w:hRule="exact"/>
        </w:trPr>
        <w:tc>
          <w:tcPr>
            <w:tcW w:w="2351" w:type="dxa"/>
            <w:tcBorders>
              <w:top w:val="nil" w:sz="6" w:space="0" w:color="auto"/>
              <w:left w:val="nil" w:sz="6" w:space="0" w:color="auto"/>
              <w:bottom w:val="nil" w:sz="6" w:space="0" w:color="auto"/>
              <w:right w:val="nil" w:sz="6" w:space="0" w:color="auto"/>
            </w:tcBorders>
          </w:tcPr>
          <w:p>
            <w:pPr>
              <w:spacing w:before="3" w:after="0" w:line="242" w:lineRule="auto"/>
              <w:ind w:left="50" w:right="1063"/>
              <w:jc w:val="both"/>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表干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1517:73]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硬干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9117:90]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凝胶时间</w:t>
            </w:r>
          </w:p>
        </w:tc>
        <w:tc>
          <w:tcPr>
            <w:tcW w:w="1265" w:type="dxa"/>
            <w:tcBorders>
              <w:top w:val="single" w:sz="4" w:space="0" w:color="000000"/>
              <w:left w:val="nil" w:sz="6" w:space="0" w:color="auto"/>
              <w:bottom w:val="nil" w:sz="6" w:space="0" w:color="auto"/>
              <w:right w:val="nil" w:sz="6" w:space="0" w:color="auto"/>
            </w:tcBorders>
          </w:tcPr>
          <w:p>
            <w:pPr>
              <w:spacing w:before="3" w:after="0" w:line="240" w:lineRule="auto"/>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34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40" w:type="dxa"/>
            <w:tcBorders>
              <w:top w:val="single" w:sz="4" w:space="0" w:color="000000"/>
              <w:left w:val="nil" w:sz="6" w:space="0" w:color="auto"/>
              <w:bottom w:val="nil" w:sz="6" w:space="0" w:color="auto"/>
              <w:right w:val="nil" w:sz="6" w:space="0" w:color="auto"/>
            </w:tcBorders>
          </w:tcPr>
          <w:p>
            <w:pPr>
              <w:spacing w:before="3" w:after="0" w:line="240" w:lineRule="auto"/>
              <w:ind w:left="452" w:right="43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52" w:right="43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90" w:right="473"/>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59" w:type="dxa"/>
            <w:tcBorders>
              <w:top w:val="single" w:sz="4" w:space="0" w:color="000000"/>
              <w:left w:val="nil" w:sz="6" w:space="0" w:color="auto"/>
              <w:bottom w:val="nil" w:sz="6" w:space="0" w:color="auto"/>
              <w:right w:val="nil" w:sz="6" w:space="0" w:color="auto"/>
            </w:tcBorders>
          </w:tcPr>
          <w:p>
            <w:pPr>
              <w:spacing w:before="3" w:after="0" w:line="240" w:lineRule="auto"/>
              <w:ind w:left="490" w:right="491"/>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9</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52" w:right="451"/>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90" w:right="491"/>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16" w:type="dxa"/>
            <w:tcBorders>
              <w:top w:val="single" w:sz="4" w:space="0" w:color="000000"/>
              <w:left w:val="nil" w:sz="6" w:space="0" w:color="auto"/>
              <w:bottom w:val="nil" w:sz="6" w:space="0" w:color="auto"/>
              <w:right w:val="nil" w:sz="6" w:space="0" w:color="auto"/>
            </w:tcBorders>
          </w:tcPr>
          <w:p>
            <w:pPr>
              <w:spacing w:before="3" w:after="0" w:line="240" w:lineRule="auto"/>
              <w:ind w:left="471"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71"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71"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r>
    </w:tbl>
    <w:p>
      <w:pPr>
        <w:tabs>
          <w:tab w:pos="6520" w:val="left"/>
        </w:tabs>
        <w:spacing w:before="55" w:after="0" w:line="374" w:lineRule="exact"/>
        <w:ind w:left="2291"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复涂数据－见“限定”一节</w:t>
        <w:tab/>
      </w:r>
      <w:r>
        <w:rPr>
          <w:rFonts w:ascii="Arial Unicode MS" w:hAnsi="Arial Unicode MS" w:cs="Arial Unicode MS" w:eastAsia="Arial Unicode MS"/>
          <w:spacing w:val="0"/>
          <w:w w:val="100"/>
          <w:position w:val="-1"/>
          <w:sz w:val="22"/>
          <w:szCs w:val="22"/>
        </w:rPr>
        <w:t>底材温度</w:t>
      </w:r>
      <w:r>
        <w:rPr>
          <w:rFonts w:ascii="Arial Unicode MS" w:hAnsi="Arial Unicode MS" w:cs="Arial Unicode MS" w:eastAsia="Arial Unicode MS"/>
          <w:spacing w:val="0"/>
          <w:w w:val="100"/>
          <w:position w:val="0"/>
          <w:sz w:val="22"/>
          <w:szCs w:val="22"/>
        </w:rPr>
      </w:r>
    </w:p>
    <w:p>
      <w:pPr>
        <w:tabs>
          <w:tab w:pos="6400" w:val="left"/>
          <w:tab w:pos="7840" w:val="left"/>
          <w:tab w:pos="9280" w:val="left"/>
        </w:tabs>
        <w:spacing w:before="0" w:after="0" w:line="133" w:lineRule="exact"/>
        <w:ind w:left="500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10°C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25°C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35°C</w:t>
      </w:r>
      <w:r>
        <w:rPr>
          <w:rFonts w:ascii="Arial Unicode MS" w:hAnsi="Arial Unicode MS" w:cs="Arial Unicode MS" w:eastAsia="Arial Unicode MS"/>
          <w:spacing w:val="0"/>
          <w:w w:val="100"/>
          <w:sz w:val="14"/>
          <w:szCs w:val="14"/>
        </w:rPr>
      </w:r>
    </w:p>
    <w:p>
      <w:pPr>
        <w:spacing w:line="133" w:lineRule="exact" w:after="0"/>
        <w:jc w:val="left"/>
        <w:rPr>
          <w:rFonts w:ascii="Arial Unicode MS" w:hAnsi="Arial Unicode MS" w:cs="Arial Unicode MS" w:eastAsia="Arial Unicode MS"/>
          <w:sz w:val="14"/>
          <w:szCs w:val="14"/>
        </w:rPr>
        <w:sectPr>
          <w:type w:val="continuous"/>
          <w:pgSz w:w="11900" w:h="16820"/>
          <w:pgMar w:top="1040" w:bottom="1780" w:left="620" w:right="520"/>
        </w:sectPr>
      </w:pPr>
    </w:p>
    <w:p>
      <w:pPr>
        <w:spacing w:before="66" w:after="0" w:line="233" w:lineRule="exact"/>
        <w:ind w:right="-20"/>
        <w:jc w:val="righ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复涂下列产品时</w:t>
      </w:r>
      <w:r>
        <w:rPr>
          <w:rFonts w:ascii="Arial Unicode MS" w:hAnsi="Arial Unicode MS" w:cs="Arial Unicode MS" w:eastAsia="Arial Unicode MS"/>
          <w:spacing w:val="0"/>
          <w:w w:val="100"/>
          <w:position w:val="0"/>
          <w:sz w:val="14"/>
          <w:szCs w:val="14"/>
        </w:rPr>
      </w:r>
    </w:p>
    <w:p>
      <w:pPr>
        <w:tabs>
          <w:tab w:pos="720" w:val="left"/>
          <w:tab w:pos="1440" w:val="left"/>
          <w:tab w:pos="2160" w:val="left"/>
          <w:tab w:pos="2880" w:val="left"/>
          <w:tab w:pos="3600" w:val="left"/>
          <w:tab w:pos="4320" w:val="left"/>
          <w:tab w:pos="5040" w:val="left"/>
        </w:tabs>
        <w:spacing w:before="37" w:after="0" w:line="240" w:lineRule="auto"/>
        <w:ind w:right="-20"/>
        <w:jc w:val="left"/>
        <w:rPr>
          <w:rFonts w:ascii="Arial Unicode MS" w:hAnsi="Arial Unicode MS" w:cs="Arial Unicode MS" w:eastAsia="Arial Unicode MS"/>
          <w:sz w:val="14"/>
          <w:szCs w:val="14"/>
        </w:rPr>
      </w:pPr>
      <w:r>
        <w:rPr/>
        <w:br w:type="column"/>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r>
    </w:p>
    <w:p>
      <w:pPr>
        <w:spacing w:line="240" w:lineRule="auto" w:after="0"/>
        <w:jc w:val="left"/>
        <w:rPr>
          <w:rFonts w:ascii="Arial Unicode MS" w:hAnsi="Arial Unicode MS" w:cs="Arial Unicode MS" w:eastAsia="Arial Unicode MS"/>
          <w:sz w:val="14"/>
          <w:szCs w:val="14"/>
        </w:rPr>
        <w:sectPr>
          <w:type w:val="continuous"/>
          <w:pgSz w:w="11900" w:h="16820"/>
          <w:pgMar w:top="1040" w:bottom="1780" w:left="620" w:right="520"/>
          <w:cols w:num="2" w:equalWidth="0">
            <w:col w:w="3215" w:space="1404"/>
            <w:col w:w="6141"/>
          </w:cols>
        </w:sectPr>
      </w:pPr>
    </w:p>
    <w:p>
      <w:pPr>
        <w:spacing w:before="20" w:after="0" w:line="200" w:lineRule="exact"/>
        <w:jc w:val="left"/>
        <w:rPr>
          <w:sz w:val="20"/>
          <w:szCs w:val="20"/>
        </w:rPr>
      </w:pPr>
      <w:r>
        <w:rPr>
          <w:sz w:val="20"/>
          <w:szCs w:val="20"/>
        </w:rPr>
      </w:r>
    </w:p>
    <w:p>
      <w:pPr>
        <w:tabs>
          <w:tab w:pos="4520" w:val="left"/>
          <w:tab w:pos="5300" w:val="left"/>
          <w:tab w:pos="5960" w:val="left"/>
          <w:tab w:pos="6740" w:val="left"/>
          <w:tab w:pos="7420" w:val="left"/>
          <w:tab w:pos="8180" w:val="left"/>
          <w:tab w:pos="8860" w:val="left"/>
          <w:tab w:pos="9620" w:val="left"/>
        </w:tabs>
        <w:spacing w:before="0" w:after="0" w:line="200" w:lineRule="exact"/>
        <w:ind w:left="2235" w:right="-20"/>
        <w:jc w:val="left"/>
        <w:rPr>
          <w:rFonts w:ascii="Arial Unicode MS" w:hAnsi="Arial Unicode MS" w:cs="Arial Unicode MS" w:eastAsia="Arial Unicode MS"/>
          <w:sz w:val="14"/>
          <w:szCs w:val="14"/>
        </w:rPr>
      </w:pPr>
      <w:r>
        <w:rPr/>
        <w:pict>
          <v:group style="position:absolute;margin-left:259.730011pt;margin-top:-1.939516pt;width:274.5pt;height:.1pt;mso-position-horizontal-relative:page;mso-position-vertical-relative:paragraph;z-index:-351" coordorigin="5195,-39" coordsize="5490,2">
            <v:shape style="position:absolute;left:5195;top:-39;width:5490;height:2" coordorigin="5195,-39" coordsize="5490,0" path="m5195,-39l10685,-39e" filled="f" stroked="t" strokeweight=".5pt" strokecolor="#000000">
              <v:path arrowok="t"/>
            </v:shape>
            <w10:wrap type="none"/>
          </v:group>
        </w:pict>
      </w:r>
      <w:r>
        <w:rPr>
          <w:rFonts w:ascii="Arial Unicode MS" w:hAnsi="Arial Unicode MS" w:cs="Arial Unicode MS" w:eastAsia="Arial Unicode MS"/>
          <w:spacing w:val="0"/>
          <w:w w:val="100"/>
          <w:position w:val="0"/>
          <w:sz w:val="14"/>
          <w:szCs w:val="14"/>
        </w:rPr>
        <w:t>Intergard</w:t>
      </w:r>
      <w:r>
        <w:rPr>
          <w:rFonts w:ascii="Arial Unicode MS" w:hAnsi="Arial Unicode MS" w:cs="Arial Unicode MS" w:eastAsia="Arial Unicode MS"/>
          <w:spacing w:val="-6"/>
          <w:w w:val="100"/>
          <w:position w:val="0"/>
          <w:sz w:val="14"/>
          <w:szCs w:val="14"/>
        </w:rPr>
        <w:t> </w:t>
      </w:r>
      <w:r>
        <w:rPr>
          <w:rFonts w:ascii="Arial Unicode MS" w:hAnsi="Arial Unicode MS" w:cs="Arial Unicode MS" w:eastAsia="Arial Unicode MS"/>
          <w:spacing w:val="0"/>
          <w:w w:val="100"/>
          <w:position w:val="0"/>
          <w:sz w:val="14"/>
          <w:szCs w:val="14"/>
        </w:rPr>
        <w:t>403</w:t>
        <w:tab/>
      </w:r>
      <w:r>
        <w:rPr>
          <w:rFonts w:ascii="Arial Unicode MS" w:hAnsi="Arial Unicode MS" w:cs="Arial Unicode MS" w:eastAsia="Arial Unicode MS"/>
          <w:spacing w:val="0"/>
          <w:w w:val="100"/>
          <w:position w:val="0"/>
          <w:sz w:val="14"/>
          <w:szCs w:val="14"/>
        </w:rPr>
        <w:t>40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小时</w:t>
        <w:tab/>
      </w:r>
      <w:r>
        <w:rPr>
          <w:rFonts w:ascii="Arial Unicode MS" w:hAnsi="Arial Unicode MS" w:cs="Arial Unicode MS" w:eastAsia="Arial Unicode MS"/>
          <w:spacing w:val="0"/>
          <w:w w:val="100"/>
          <w:position w:val="0"/>
          <w:sz w:val="14"/>
          <w:szCs w:val="14"/>
        </w:rPr>
        <w:t>28</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天</w:t>
        <w:tab/>
      </w:r>
      <w:r>
        <w:rPr>
          <w:rFonts w:ascii="Arial Unicode MS" w:hAnsi="Arial Unicode MS" w:cs="Arial Unicode MS" w:eastAsia="Arial Unicode MS"/>
          <w:spacing w:val="0"/>
          <w:w w:val="100"/>
          <w:position w:val="0"/>
          <w:sz w:val="14"/>
          <w:szCs w:val="14"/>
        </w:rPr>
        <w:t>30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小时</w:t>
        <w:tab/>
      </w:r>
      <w:r>
        <w:rPr>
          <w:rFonts w:ascii="Arial Unicode MS" w:hAnsi="Arial Unicode MS" w:cs="Arial Unicode MS" w:eastAsia="Arial Unicode MS"/>
          <w:spacing w:val="0"/>
          <w:w w:val="100"/>
          <w:position w:val="0"/>
          <w:sz w:val="14"/>
          <w:szCs w:val="14"/>
        </w:rPr>
        <w:t>28</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天</w:t>
        <w:tab/>
      </w:r>
      <w:r>
        <w:rPr>
          <w:rFonts w:ascii="Arial Unicode MS" w:hAnsi="Arial Unicode MS" w:cs="Arial Unicode MS" w:eastAsia="Arial Unicode MS"/>
          <w:spacing w:val="0"/>
          <w:w w:val="100"/>
          <w:position w:val="0"/>
          <w:sz w:val="14"/>
          <w:szCs w:val="14"/>
        </w:rPr>
        <w:t>12</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小时</w:t>
        <w:tab/>
      </w:r>
      <w:r>
        <w:rPr>
          <w:rFonts w:ascii="Arial Unicode MS" w:hAnsi="Arial Unicode MS" w:cs="Arial Unicode MS" w:eastAsia="Arial Unicode MS"/>
          <w:spacing w:val="0"/>
          <w:w w:val="100"/>
          <w:position w:val="0"/>
          <w:sz w:val="14"/>
          <w:szCs w:val="14"/>
        </w:rPr>
        <w:t>28</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天</w:t>
        <w:tab/>
      </w:r>
      <w:r>
        <w:rPr>
          <w:rFonts w:ascii="Arial Unicode MS" w:hAnsi="Arial Unicode MS" w:cs="Arial Unicode MS" w:eastAsia="Arial Unicode MS"/>
          <w:spacing w:val="0"/>
          <w:w w:val="100"/>
          <w:position w:val="0"/>
          <w:sz w:val="14"/>
          <w:szCs w:val="14"/>
        </w:rPr>
        <w:t>6</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小时</w:t>
        <w:tab/>
      </w:r>
      <w:r>
        <w:rPr>
          <w:rFonts w:ascii="Arial Unicode MS" w:hAnsi="Arial Unicode MS" w:cs="Arial Unicode MS" w:eastAsia="Arial Unicode MS"/>
          <w:spacing w:val="0"/>
          <w:w w:val="100"/>
          <w:position w:val="0"/>
          <w:sz w:val="14"/>
          <w:szCs w:val="14"/>
        </w:rPr>
        <w:t>28</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天</w:t>
      </w:r>
      <w:r>
        <w:rPr>
          <w:rFonts w:ascii="Arial Unicode MS" w:hAnsi="Arial Unicode MS" w:cs="Arial Unicode MS" w:eastAsia="Arial Unicode MS"/>
          <w:spacing w:val="0"/>
          <w:w w:val="100"/>
          <w:position w:val="0"/>
          <w:sz w:val="14"/>
          <w:szCs w:val="14"/>
        </w:rPr>
      </w:r>
    </w:p>
    <w:p>
      <w:pPr>
        <w:spacing w:before="0" w:after="0" w:line="200" w:lineRule="exact"/>
        <w:jc w:val="left"/>
        <w:rPr>
          <w:sz w:val="20"/>
          <w:szCs w:val="20"/>
        </w:rPr>
      </w:pPr>
      <w:r>
        <w:rPr>
          <w:sz w:val="20"/>
          <w:szCs w:val="20"/>
        </w:rPr>
      </w:r>
    </w:p>
    <w:p>
      <w:pPr>
        <w:spacing w:before="7" w:after="0" w:line="280" w:lineRule="exact"/>
        <w:jc w:val="left"/>
        <w:rPr>
          <w:sz w:val="28"/>
          <w:szCs w:val="28"/>
        </w:rPr>
      </w:pPr>
      <w:r>
        <w:rPr>
          <w:sz w:val="28"/>
          <w:szCs w:val="28"/>
        </w:rPr>
      </w:r>
    </w:p>
    <w:p>
      <w:pPr>
        <w:spacing w:line="280" w:lineRule="exact" w:after="0"/>
        <w:jc w:val="left"/>
        <w:rPr>
          <w:sz w:val="28"/>
          <w:szCs w:val="28"/>
        </w:rPr>
        <w:sectPr>
          <w:type w:val="continuous"/>
          <w:pgSz w:w="11900" w:h="16820"/>
          <w:pgMar w:top="1040" w:bottom="1780" w:left="620" w:right="520"/>
        </w:sectPr>
      </w:pPr>
    </w:p>
    <w:p>
      <w:pPr>
        <w:tabs>
          <w:tab w:pos="2380" w:val="left"/>
        </w:tabs>
        <w:spacing w:before="0" w:after="0" w:line="299" w:lineRule="exact"/>
        <w:ind w:left="137" w:right="-73"/>
        <w:jc w:val="left"/>
        <w:rPr>
          <w:rFonts w:ascii="Arial Unicode MS" w:hAnsi="Arial Unicode MS" w:cs="Arial Unicode MS" w:eastAsia="Arial Unicode MS"/>
          <w:sz w:val="22"/>
          <w:szCs w:val="22"/>
        </w:rPr>
      </w:pPr>
      <w:r>
        <w:rPr/>
        <w:pict>
          <v:group style="position:absolute;margin-left:144.770004pt;margin-top:-4.638876pt;width:411.75pt;height:.13pt;mso-position-horizontal-relative:page;mso-position-vertical-relative:paragraph;z-index:-353" coordorigin="2895,-93" coordsize="8235,3">
            <v:shape style="position:absolute;left:2895;top:-93;width:8235;height:3" coordorigin="2895,-93" coordsize="8235,3" path="m2895,-93l11130,-90e" filled="f" stroked="t" strokeweight="1.5pt" strokecolor="#000000">
              <v:path arrowok="t"/>
            </v:shape>
            <w10:wrap type="none"/>
          </v:group>
        </w:pict>
      </w:r>
      <w:r>
        <w:rPr/>
        <w:pict>
          <v:group style="position:absolute;margin-left:37.849998pt;margin-top:2.501824pt;width:525.6pt;height:59.7733pt;mso-position-horizontal-relative:page;mso-position-vertical-relative:paragraph;z-index:-350" coordorigin="757,50" coordsize="10512,1195">
            <v:shape style="position:absolute;left:757;top:50;width:10512;height:1195" coordorigin="757,50" coordsize="10512,1195" path="m757,1246l11269,1246,11269,50,757,50,757,1246xe" filled="t" fillcolor="#D2D2D2" stroked="f">
              <v:path arrowok="t"/>
              <v:fill/>
            </v:shape>
            <w10:wrap type="none"/>
          </v:group>
        </w:pict>
      </w:r>
      <w:r>
        <w:rPr>
          <w:rFonts w:ascii="Arial Unicode MS" w:hAnsi="Arial Unicode MS" w:cs="Arial Unicode MS" w:eastAsia="Arial Unicode MS"/>
          <w:spacing w:val="0"/>
          <w:w w:val="100"/>
          <w:sz w:val="22"/>
          <w:szCs w:val="22"/>
        </w:rPr>
        <w:t>法定数据</w:t>
        <w:tab/>
      </w:r>
      <w:r>
        <w:rPr>
          <w:rFonts w:ascii="Arial Unicode MS" w:hAnsi="Arial Unicode MS" w:cs="Arial Unicode MS" w:eastAsia="Arial Unicode MS"/>
          <w:spacing w:val="0"/>
          <w:w w:val="100"/>
          <w:sz w:val="22"/>
          <w:szCs w:val="22"/>
        </w:rPr>
        <w:t>挥发性有机化合物</w:t>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304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克/公升(原装涂料)</w:t>
      </w:r>
      <w:r>
        <w:rPr>
          <w:rFonts w:ascii="Arial Unicode MS" w:hAnsi="Arial Unicode MS" w:cs="Arial Unicode MS" w:eastAsia="Arial Unicode MS"/>
          <w:spacing w:val="-13"/>
          <w:w w:val="100"/>
          <w:sz w:val="16"/>
          <w:szCs w:val="16"/>
        </w:rPr>
        <w:t> </w:t>
      </w:r>
      <w:r>
        <w:rPr>
          <w:rFonts w:ascii="Arial Unicode MS" w:hAnsi="Arial Unicode MS" w:cs="Arial Unicode MS" w:eastAsia="Arial Unicode MS"/>
          <w:spacing w:val="0"/>
          <w:w w:val="100"/>
          <w:sz w:val="16"/>
          <w:szCs w:val="16"/>
        </w:rPr>
        <w:t>(EPA</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方法</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24)</w:t>
      </w:r>
    </w:p>
    <w:p>
      <w:pPr>
        <w:spacing w:before="0" w:after="0" w:line="203"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16"/>
          <w:szCs w:val="16"/>
        </w:rPr>
        <w:t>252</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99"/>
          <w:position w:val="0"/>
          <w:sz w:val="16"/>
          <w:szCs w:val="16"/>
        </w:rPr>
        <w:t>克/千克(原装液体油漆)。欧盟溶剂排放指导</w:t>
      </w:r>
      <w:r>
        <w:rPr>
          <w:rFonts w:ascii="Arial Unicode MS" w:hAnsi="Arial Unicode MS" w:cs="Arial Unicode MS" w:eastAsia="Arial Unicode MS"/>
          <w:spacing w:val="0"/>
          <w:w w:val="99"/>
          <w:position w:val="0"/>
          <w:sz w:val="16"/>
          <w:szCs w:val="16"/>
        </w:rPr>
        <w:t> </w:t>
      </w:r>
      <w:r>
        <w:rPr>
          <w:rFonts w:ascii="Arial Unicode MS" w:hAnsi="Arial Unicode MS" w:cs="Arial Unicode MS" w:eastAsia="Arial Unicode MS"/>
          <w:spacing w:val="0"/>
          <w:w w:val="100"/>
          <w:position w:val="0"/>
          <w:sz w:val="16"/>
          <w:szCs w:val="16"/>
        </w:rPr>
        <w:t>(委员会指导</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1999/13/EC)</w:t>
      </w:r>
      <w:r>
        <w:rPr>
          <w:rFonts w:ascii="Arial Unicode MS" w:hAnsi="Arial Unicode MS" w:cs="Arial Unicode MS" w:eastAsia="Arial Unicode MS"/>
          <w:spacing w:val="0"/>
          <w:w w:val="100"/>
          <w:position w:val="0"/>
          <w:sz w:val="16"/>
          <w:szCs w:val="16"/>
        </w:rPr>
      </w:r>
    </w:p>
    <w:p>
      <w:pPr>
        <w:spacing w:line="203" w:lineRule="exact"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4148" w:space="669"/>
            <w:col w:w="5943"/>
          </w:cols>
        </w:sectPr>
      </w:pPr>
    </w:p>
    <w:p>
      <w:pPr>
        <w:spacing w:before="15" w:after="0" w:line="185" w:lineRule="auto"/>
        <w:ind w:left="2388" w:right="47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挥发性有机化合物值是典型值，仅提供用来作为参考。它们可能会随着诸如颜色和常规制造误差之类因素的改变</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而发生变化。</w:t>
      </w:r>
    </w:p>
    <w:p>
      <w:pPr>
        <w:tabs>
          <w:tab w:pos="4800" w:val="left"/>
        </w:tabs>
        <w:spacing w:before="0" w:after="0" w:line="321" w:lineRule="exact"/>
        <w:ind w:left="2388"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军用规格</w:t>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sz w:val="22"/>
          <w:szCs w:val="22"/>
        </w:rPr>
        <w:t>MIL-PRF-23236C,</w:t>
      </w:r>
      <w:r>
        <w:rPr>
          <w:rFonts w:ascii="Arial Unicode MS" w:hAnsi="Arial Unicode MS" w:cs="Arial Unicode MS" w:eastAsia="Arial Unicode MS"/>
          <w:spacing w:val="-18"/>
          <w:w w:val="100"/>
          <w:sz w:val="22"/>
          <w:szCs w:val="22"/>
        </w:rPr>
        <w:t> </w:t>
      </w:r>
      <w:r>
        <w:rPr>
          <w:rFonts w:ascii="Arial Unicode MS" w:hAnsi="Arial Unicode MS" w:cs="Arial Unicode MS" w:eastAsia="Arial Unicode MS"/>
          <w:spacing w:val="0"/>
          <w:w w:val="100"/>
          <w:sz w:val="22"/>
          <w:szCs w:val="22"/>
        </w:rPr>
        <w:t>类型</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V</w:t>
      </w:r>
      <w:r>
        <w:rPr>
          <w:rFonts w:ascii="Arial Unicode MS" w:hAnsi="Arial Unicode MS" w:cs="Arial Unicode MS" w:eastAsia="Arial Unicode MS"/>
          <w:spacing w:val="-1"/>
          <w:w w:val="100"/>
          <w:sz w:val="22"/>
          <w:szCs w:val="22"/>
        </w:rPr>
        <w:t> </w:t>
      </w:r>
      <w:r>
        <w:rPr>
          <w:rFonts w:ascii="Arial Unicode MS" w:hAnsi="Arial Unicode MS" w:cs="Arial Unicode MS" w:eastAsia="Arial Unicode MS"/>
          <w:spacing w:val="0"/>
          <w:w w:val="100"/>
          <w:sz w:val="22"/>
          <w:szCs w:val="22"/>
        </w:rPr>
        <w:t>和</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VI,</w:t>
      </w:r>
      <w:r>
        <w:rPr>
          <w:rFonts w:ascii="Arial Unicode MS" w:hAnsi="Arial Unicode MS" w:cs="Arial Unicode MS" w:eastAsia="Arial Unicode MS"/>
          <w:spacing w:val="-3"/>
          <w:w w:val="100"/>
          <w:sz w:val="22"/>
          <w:szCs w:val="22"/>
        </w:rPr>
        <w:t> </w:t>
      </w:r>
      <w:r>
        <w:rPr>
          <w:rFonts w:ascii="Arial Unicode MS" w:hAnsi="Arial Unicode MS" w:cs="Arial Unicode MS" w:eastAsia="Arial Unicode MS"/>
          <w:spacing w:val="0"/>
          <w:w w:val="100"/>
          <w:sz w:val="22"/>
          <w:szCs w:val="22"/>
        </w:rPr>
        <w:t>CL</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7</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和</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8,</w:t>
      </w:r>
      <w:r>
        <w:rPr>
          <w:rFonts w:ascii="Arial Unicode MS" w:hAnsi="Arial Unicode MS" w:cs="Arial Unicode MS" w:eastAsia="Arial Unicode MS"/>
          <w:spacing w:val="-2"/>
          <w:w w:val="100"/>
          <w:sz w:val="22"/>
          <w:szCs w:val="22"/>
        </w:rPr>
        <w:t> </w:t>
      </w:r>
      <w:r>
        <w:rPr>
          <w:rFonts w:ascii="Arial Unicode MS" w:hAnsi="Arial Unicode MS" w:cs="Arial Unicode MS" w:eastAsia="Arial Unicode MS"/>
          <w:spacing w:val="0"/>
          <w:w w:val="100"/>
          <w:sz w:val="22"/>
          <w:szCs w:val="22"/>
        </w:rPr>
        <w:t>等级</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C</w:t>
      </w:r>
    </w:p>
    <w:p>
      <w:pPr>
        <w:spacing w:line="321" w:lineRule="exact" w:after="0"/>
        <w:jc w:val="left"/>
        <w:rPr>
          <w:rFonts w:ascii="Arial Unicode MS" w:hAnsi="Arial Unicode MS" w:cs="Arial Unicode MS" w:eastAsia="Arial Unicode MS"/>
          <w:sz w:val="22"/>
          <w:szCs w:val="22"/>
        </w:rPr>
        <w:sectPr>
          <w:type w:val="continuous"/>
          <w:pgSz w:w="11900" w:h="16820"/>
          <w:pgMar w:top="1040" w:bottom="1780" w:left="620" w:right="520"/>
        </w:sectPr>
      </w:pPr>
    </w:p>
    <w:p>
      <w:pPr>
        <w:tabs>
          <w:tab w:pos="2280" w:val="left"/>
        </w:tabs>
        <w:spacing w:before="37" w:after="0" w:line="240" w:lineRule="auto"/>
        <w:ind w:left="13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证书</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当作为已核准的方案的一部分使用时，该涂料具有下列证书：</w:t>
      </w:r>
    </w:p>
    <w:p>
      <w:pPr>
        <w:spacing w:before="85" w:after="0" w:line="240" w:lineRule="auto"/>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耐火性－符合低播焰要求</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(WFR)－(IMO</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Resolution</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A653</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(16))</w:t>
      </w:r>
    </w:p>
    <w:p>
      <w:pPr>
        <w:spacing w:before="0" w:after="0" w:line="214" w:lineRule="exact"/>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食品接触－装载谷物</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(NOHA)</w:t>
      </w:r>
      <w:r>
        <w:rPr>
          <w:rFonts w:ascii="Arial Unicode MS" w:hAnsi="Arial Unicode MS" w:cs="Arial Unicode MS" w:eastAsia="Arial Unicode MS"/>
          <w:spacing w:val="0"/>
          <w:w w:val="100"/>
          <w:sz w:val="16"/>
          <w:szCs w:val="16"/>
        </w:rPr>
      </w:r>
    </w:p>
    <w:p>
      <w:pPr>
        <w:spacing w:before="0" w:after="0" w:line="214" w:lineRule="exact"/>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液舱涂料－压载舱</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B1</w:t>
      </w:r>
      <w:r>
        <w:rPr>
          <w:rFonts w:ascii="Arial Unicode MS" w:hAnsi="Arial Unicode MS" w:cs="Arial Unicode MS" w:eastAsia="Arial Unicode MS"/>
          <w:spacing w:val="-2"/>
          <w:w w:val="100"/>
          <w:sz w:val="16"/>
          <w:szCs w:val="16"/>
        </w:rPr>
        <w:t> </w:t>
      </w:r>
      <w:r>
        <w:rPr>
          <w:rFonts w:ascii="Arial Unicode MS" w:hAnsi="Arial Unicode MS" w:cs="Arial Unicode MS" w:eastAsia="Arial Unicode MS"/>
          <w:spacing w:val="0"/>
          <w:w w:val="100"/>
          <w:sz w:val="16"/>
          <w:szCs w:val="16"/>
        </w:rPr>
        <w:t>类液舱涂料(经</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DNV/Marinetek</w:t>
      </w:r>
      <w:r>
        <w:rPr>
          <w:rFonts w:ascii="Arial Unicode MS" w:hAnsi="Arial Unicode MS" w:cs="Arial Unicode MS" w:eastAsia="Arial Unicode MS"/>
          <w:spacing w:val="-11"/>
          <w:w w:val="100"/>
          <w:sz w:val="16"/>
          <w:szCs w:val="16"/>
        </w:rPr>
        <w:t> </w:t>
      </w:r>
      <w:r>
        <w:rPr>
          <w:rFonts w:ascii="Arial Unicode MS" w:hAnsi="Arial Unicode MS" w:cs="Arial Unicode MS" w:eastAsia="Arial Unicode MS"/>
          <w:spacing w:val="0"/>
          <w:w w:val="100"/>
          <w:sz w:val="16"/>
          <w:szCs w:val="16"/>
        </w:rPr>
        <w:t>测试)</w:t>
      </w:r>
    </w:p>
    <w:p>
      <w:pPr>
        <w:spacing w:before="0" w:after="0" w:line="214" w:lineRule="exact"/>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液舱涂料－“认可的腐蚀控制涂料”(LR)</w:t>
      </w:r>
    </w:p>
    <w:p>
      <w:pPr>
        <w:spacing w:before="0" w:after="0" w:line="214" w:lineRule="exact"/>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液舱涂料－压载舱类别认可</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(GL)</w:t>
      </w:r>
      <w:r>
        <w:rPr>
          <w:rFonts w:ascii="Arial Unicode MS" w:hAnsi="Arial Unicode MS" w:cs="Arial Unicode MS" w:eastAsia="Arial Unicode MS"/>
          <w:spacing w:val="0"/>
          <w:w w:val="100"/>
          <w:sz w:val="16"/>
          <w:szCs w:val="16"/>
        </w:rPr>
      </w:r>
    </w:p>
    <w:p>
      <w:pPr>
        <w:spacing w:before="0" w:after="0" w:line="214" w:lineRule="exact"/>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耐火性－符合“海洋设备指导”的规定</w:t>
      </w:r>
    </w:p>
    <w:p>
      <w:pPr>
        <w:spacing w:before="0" w:after="0" w:line="214" w:lineRule="exact"/>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食品接触</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符合美国食品及药物管理局的规定：干食</w:t>
      </w:r>
    </w:p>
    <w:p>
      <w:pPr>
        <w:spacing w:before="0" w:after="0" w:line="214" w:lineRule="exact"/>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腐蚀控制</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中国船级社(CCS)</w:t>
      </w:r>
      <w:r>
        <w:rPr>
          <w:rFonts w:ascii="Arial Unicode MS" w:hAnsi="Arial Unicode MS" w:cs="Arial Unicode MS" w:eastAsia="Arial Unicode MS"/>
          <w:spacing w:val="0"/>
          <w:w w:val="100"/>
          <w:sz w:val="16"/>
          <w:szCs w:val="16"/>
        </w:rPr>
      </w:r>
    </w:p>
    <w:p>
      <w:pPr>
        <w:spacing w:before="0" w:after="0" w:line="214" w:lineRule="exact"/>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类型认可</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俄罗斯船级社</w:t>
      </w:r>
    </w:p>
    <w:p>
      <w:pPr>
        <w:spacing w:before="2" w:after="0" w:line="150" w:lineRule="exact"/>
        <w:jc w:val="left"/>
        <w:rPr>
          <w:sz w:val="15"/>
          <w:szCs w:val="15"/>
        </w:rPr>
      </w:pPr>
      <w:r>
        <w:rPr>
          <w:sz w:val="15"/>
          <w:szCs w:val="15"/>
        </w:rPr>
      </w:r>
    </w:p>
    <w:p>
      <w:pPr>
        <w:spacing w:before="0" w:after="0" w:line="266" w:lineRule="exact"/>
        <w:ind w:left="2297" w:right="-20"/>
        <w:jc w:val="left"/>
        <w:rPr>
          <w:rFonts w:ascii="Arial Unicode MS" w:hAnsi="Arial Unicode MS" w:cs="Arial Unicode MS" w:eastAsia="Arial Unicode MS"/>
          <w:sz w:val="16"/>
          <w:szCs w:val="16"/>
        </w:rPr>
      </w:pPr>
      <w:r>
        <w:rPr/>
        <w:pict>
          <v:group style="position:absolute;margin-left:145.850006pt;margin-top:19.070246pt;width:409.5pt;height:.1pt;mso-position-horizontal-relative:page;mso-position-vertical-relative:paragraph;z-index:-349" coordorigin="2917,381" coordsize="8190,2">
            <v:shape style="position:absolute;left:2917;top:381;width:8190;height:2" coordorigin="2917,381" coordsize="8190,0" path="m2917,381l11107,381e" filled="f" stroked="t" strokeweight="1.5pt" strokecolor="#000000">
              <v:path arrowok="t"/>
            </v:shape>
            <w10:wrap type="none"/>
          </v:group>
        </w:pict>
      </w:r>
      <w:r>
        <w:rPr>
          <w:rFonts w:ascii="Arial Unicode MS" w:hAnsi="Arial Unicode MS" w:cs="Arial Unicode MS" w:eastAsia="Arial Unicode MS"/>
          <w:spacing w:val="0"/>
          <w:w w:val="100"/>
          <w:position w:val="-1"/>
          <w:sz w:val="16"/>
          <w:szCs w:val="16"/>
        </w:rPr>
        <w:t>有关详细情况，请向贵处的国际油漆</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(International</w:t>
      </w:r>
      <w:r>
        <w:rPr>
          <w:rFonts w:ascii="Arial Unicode MS" w:hAnsi="Arial Unicode MS" w:cs="Arial Unicode MS" w:eastAsia="Arial Unicode MS"/>
          <w:spacing w:val="-9"/>
          <w:w w:val="100"/>
          <w:position w:val="-1"/>
          <w:sz w:val="16"/>
          <w:szCs w:val="16"/>
        </w:rPr>
        <w:t> </w:t>
      </w:r>
      <w:r>
        <w:rPr>
          <w:rFonts w:ascii="Arial Unicode MS" w:hAnsi="Arial Unicode MS" w:cs="Arial Unicode MS" w:eastAsia="Arial Unicode MS"/>
          <w:spacing w:val="0"/>
          <w:w w:val="100"/>
          <w:position w:val="-1"/>
          <w:sz w:val="16"/>
          <w:szCs w:val="16"/>
        </w:rPr>
        <w:t>Paint)</w:t>
      </w:r>
      <w:r>
        <w:rPr>
          <w:rFonts w:ascii="Arial Unicode MS" w:hAnsi="Arial Unicode MS" w:cs="Arial Unicode MS" w:eastAsia="Arial Unicode MS"/>
          <w:spacing w:val="-4"/>
          <w:w w:val="100"/>
          <w:position w:val="-1"/>
          <w:sz w:val="16"/>
          <w:szCs w:val="16"/>
        </w:rPr>
        <w:t> </w:t>
      </w:r>
      <w:r>
        <w:rPr>
          <w:rFonts w:ascii="Arial Unicode MS" w:hAnsi="Arial Unicode MS" w:cs="Arial Unicode MS" w:eastAsia="Arial Unicode MS"/>
          <w:spacing w:val="0"/>
          <w:w w:val="100"/>
          <w:position w:val="-1"/>
          <w:sz w:val="16"/>
          <w:szCs w:val="16"/>
        </w:rPr>
        <w:t>代表咨询。</w:t>
      </w:r>
      <w:r>
        <w:rPr>
          <w:rFonts w:ascii="Arial Unicode MS" w:hAnsi="Arial Unicode MS" w:cs="Arial Unicode MS" w:eastAsia="Arial Unicode MS"/>
          <w:spacing w:val="0"/>
          <w:w w:val="100"/>
          <w:position w:val="0"/>
          <w:sz w:val="16"/>
          <w:szCs w:val="16"/>
        </w:rPr>
      </w:r>
    </w:p>
    <w:p>
      <w:pPr>
        <w:spacing w:before="0" w:after="0" w:line="190" w:lineRule="exact"/>
        <w:jc w:val="left"/>
        <w:rPr>
          <w:sz w:val="19"/>
          <w:szCs w:val="19"/>
        </w:rPr>
      </w:pPr>
      <w:r>
        <w:rPr>
          <w:sz w:val="19"/>
          <w:szCs w:val="19"/>
        </w:rPr>
      </w:r>
    </w:p>
    <w:p>
      <w:pPr>
        <w:spacing w:line="190" w:lineRule="exact" w:after="0"/>
        <w:jc w:val="left"/>
        <w:rPr>
          <w:sz w:val="19"/>
          <w:szCs w:val="19"/>
        </w:rPr>
        <w:sectPr>
          <w:headerReference w:type="default" r:id="rId7"/>
          <w:pgSz w:w="11900" w:h="16820"/>
          <w:pgMar w:header="299" w:footer="1582" w:top="1040" w:bottom="1780" w:left="620" w:right="520"/>
        </w:sectPr>
      </w:pPr>
    </w:p>
    <w:p>
      <w:pPr>
        <w:spacing w:before="0" w:after="0" w:line="299"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体系及配套性</w:t>
      </w:r>
    </w:p>
    <w:p>
      <w:pPr>
        <w:spacing w:before="7" w:after="0" w:line="185" w:lineRule="auto"/>
        <w:ind w:right="240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有关最适于待保护表面的漆系，请向贵处的国际油漆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用于货舱时，请参阅</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Intergard</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403</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货舱施工程序。</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1458" w:space="877"/>
            <w:col w:w="8425"/>
          </w:cols>
        </w:sectPr>
      </w:pPr>
    </w:p>
    <w:p>
      <w:pPr>
        <w:spacing w:before="9" w:after="0" w:line="160" w:lineRule="exact"/>
        <w:jc w:val="left"/>
        <w:rPr>
          <w:sz w:val="16"/>
          <w:szCs w:val="16"/>
        </w:rPr>
      </w:pPr>
      <w:r>
        <w:rPr>
          <w:sz w:val="16"/>
          <w:szCs w:val="16"/>
        </w:rPr>
      </w:r>
    </w:p>
    <w:p>
      <w:pPr>
        <w:spacing w:line="160" w:lineRule="exact" w:after="0"/>
        <w:jc w:val="left"/>
        <w:rPr>
          <w:sz w:val="16"/>
          <w:szCs w:val="16"/>
        </w:rPr>
        <w:sectPr>
          <w:type w:val="continuous"/>
          <w:pgSz w:w="11900" w:h="16820"/>
          <w:pgMar w:top="1040" w:bottom="1780" w:left="620" w:right="520"/>
        </w:sectPr>
      </w:pPr>
    </w:p>
    <w:p>
      <w:pPr>
        <w:spacing w:before="0" w:after="0" w:line="299" w:lineRule="exact"/>
        <w:ind w:left="137" w:right="-73"/>
        <w:jc w:val="left"/>
        <w:rPr>
          <w:rFonts w:ascii="Arial Unicode MS" w:hAnsi="Arial Unicode MS" w:cs="Arial Unicode MS" w:eastAsia="Arial Unicode MS"/>
          <w:sz w:val="22"/>
          <w:szCs w:val="22"/>
        </w:rPr>
      </w:pPr>
      <w:r>
        <w:rPr/>
        <w:pict>
          <v:group style="position:absolute;margin-left:145.570007pt;margin-top:-3.755576pt;width:414.0pt;height:.1pt;mso-position-horizontal-relative:page;mso-position-vertical-relative:paragraph;z-index:-348" coordorigin="2911,-75" coordsize="8280,2">
            <v:shape style="position:absolute;left:2911;top:-75;width:8280;height:2" coordorigin="2911,-75" coordsize="8280,0" path="m2911,-75l11191,-75e" filled="f" stroked="t" strokeweight="1.5pt" strokecolor="#000000">
              <v:path arrowok="t"/>
            </v:shape>
            <w10:wrap type="none"/>
          </v:group>
        </w:pict>
      </w:r>
      <w:r>
        <w:rPr>
          <w:rFonts w:ascii="Arial Unicode MS" w:hAnsi="Arial Unicode MS" w:cs="Arial Unicode MS" w:eastAsia="Arial Unicode MS"/>
          <w:spacing w:val="0"/>
          <w:w w:val="100"/>
          <w:sz w:val="22"/>
          <w:szCs w:val="22"/>
        </w:rPr>
        <w:t>表面处理</w:t>
      </w:r>
    </w:p>
    <w:p>
      <w:pPr>
        <w:spacing w:before="7" w:after="0" w:line="185" w:lineRule="auto"/>
        <w:ind w:right="3643"/>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99"/>
          <w:sz w:val="16"/>
          <w:szCs w:val="16"/>
        </w:rPr>
        <w:t>按照标准的“全球海洋规则(Worldwide</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Marine</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Specifications)”使用。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所有待涂表面应清洁、干燥且无污染物。</w:t>
      </w:r>
    </w:p>
    <w:p>
      <w:pPr>
        <w:spacing w:before="0" w:after="0" w:line="185" w:lineRule="auto"/>
        <w:ind w:right="22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采用高压淡水冲洗或一般淡水冲洗，以合适为准，并按照</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SSPC－SP1</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溶剂清理标准除去所有油或油脂、可溶性污染</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物以及其它外来物质。</w:t>
      </w:r>
    </w:p>
    <w:p>
      <w:pPr>
        <w:spacing w:before="0" w:after="0" w:line="185" w:lineRule="auto"/>
        <w:ind w:right="292"/>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99"/>
          <w:sz w:val="16"/>
          <w:szCs w:val="16"/>
        </w:rPr>
        <w:t>当作为临时底漆用于保护喷砂表面时，Intergard</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403</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可施工在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Intergard</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269</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上。底漆表面应干燥且无任何污染物，</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Intergard</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403</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必须在规定的复涂间隔时间内进行施工(请参阅</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Intergard</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269</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的产品说明书)。</w:t>
      </w:r>
    </w:p>
    <w:p>
      <w:pPr>
        <w:spacing w:before="18" w:after="0" w:line="240" w:lineRule="auto"/>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新造船</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在需要处，除去焊接飞溅物并磨光焊缝和锐边。</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焊缝和车间底漆的损坏区域应采用喷砂清理处理至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Sa2.5</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标准或采用动力工具处理至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Pt3</w:t>
      </w:r>
      <w:r>
        <w:rPr>
          <w:rFonts w:ascii="Arial Unicode MS" w:hAnsi="Arial Unicode MS" w:cs="Arial Unicode MS" w:eastAsia="Arial Unicode MS"/>
          <w:spacing w:val="-2"/>
          <w:w w:val="100"/>
          <w:sz w:val="16"/>
          <w:szCs w:val="16"/>
        </w:rPr>
        <w:t> </w:t>
      </w:r>
      <w:r>
        <w:rPr>
          <w:rFonts w:ascii="Arial Unicode MS" w:hAnsi="Arial Unicode MS" w:cs="Arial Unicode MS" w:eastAsia="Arial Unicode MS"/>
          <w:spacing w:val="0"/>
          <w:w w:val="100"/>
          <w:sz w:val="16"/>
          <w:szCs w:val="16"/>
        </w:rPr>
        <w:t>(JSRA</w:t>
      </w:r>
      <w:r>
        <w:rPr>
          <w:rFonts w:ascii="Arial Unicode MS" w:hAnsi="Arial Unicode MS" w:cs="Arial Unicode MS" w:eastAsia="Arial Unicode MS"/>
          <w:spacing w:val="0"/>
          <w:w w:val="100"/>
          <w:sz w:val="16"/>
          <w:szCs w:val="16"/>
        </w:rPr>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SPSS:1984)。</w:t>
      </w:r>
      <w:r>
        <w:rPr>
          <w:rFonts w:ascii="Arial Unicode MS" w:hAnsi="Arial Unicode MS" w:cs="Arial Unicode MS" w:eastAsia="Arial Unicode MS"/>
          <w:spacing w:val="0"/>
          <w:w w:val="100"/>
          <w:sz w:val="16"/>
          <w:szCs w:val="16"/>
        </w:rPr>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完整的核准车间底漆必须清洁、干燥，且不含可溶盐和任何其它表面污染物。</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未经核准的车间底漆需通过喷砂完全清理至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Sa2.5</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8501-1:2007)。在某些情况下，也可接受扫砂处理至规定的国</w:t>
      </w:r>
      <w:r>
        <w:rPr>
          <w:rFonts w:ascii="Arial Unicode MS" w:hAnsi="Arial Unicode MS" w:cs="Arial Unicode MS" w:eastAsia="Arial Unicode MS"/>
          <w:spacing w:val="0"/>
          <w:w w:val="100"/>
          <w:sz w:val="16"/>
          <w:szCs w:val="16"/>
        </w:rPr>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标准（如，AS2</w:t>
      </w:r>
      <w:r>
        <w:rPr>
          <w:rFonts w:ascii="Arial Unicode MS" w:hAnsi="Arial Unicode MS" w:cs="Arial Unicode MS" w:eastAsia="Arial Unicode MS"/>
          <w:spacing w:val="-11"/>
          <w:w w:val="100"/>
          <w:sz w:val="16"/>
          <w:szCs w:val="16"/>
        </w:rPr>
        <w:t> </w:t>
      </w:r>
      <w:r>
        <w:rPr>
          <w:rFonts w:ascii="Arial Unicode MS" w:hAnsi="Arial Unicode MS" w:cs="Arial Unicode MS" w:eastAsia="Arial Unicode MS"/>
          <w:spacing w:val="0"/>
          <w:w w:val="100"/>
          <w:sz w:val="16"/>
          <w:szCs w:val="16"/>
        </w:rPr>
        <w:t>或</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99"/>
          <w:sz w:val="16"/>
          <w:szCs w:val="16"/>
        </w:rPr>
        <w:t>AS3）。有关具体建议，请向贵处的国际油漆</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表咨询。</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大修</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磨料喷砂清理至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Sa2.5</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标准。</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维修</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咨询。</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对于已喷砂区域，应在氧化发生前施工底漆。如果确实已发生氧化，则整个氧化区域应再行喷砂至上述规定的标准。</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在航保养</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关于液舱涂装工程，请向国际油漆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咨询应遵循的详细液舱涂装程序。</w:t>
      </w:r>
    </w:p>
    <w:p>
      <w:pPr>
        <w:spacing w:before="2" w:after="0" w:line="150" w:lineRule="exact"/>
        <w:jc w:val="left"/>
        <w:rPr>
          <w:sz w:val="15"/>
          <w:szCs w:val="15"/>
        </w:rPr>
      </w:pPr>
      <w:r>
        <w:rPr>
          <w:sz w:val="15"/>
          <w:szCs w:val="15"/>
        </w:rPr>
      </w:r>
    </w:p>
    <w:p>
      <w:pPr>
        <w:spacing w:before="0" w:after="0" w:line="240" w:lineRule="auto"/>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有关特殊建议，请向贵处的国际油漆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w:t>
      </w:r>
    </w:p>
    <w:p>
      <w:pPr>
        <w:spacing w:before="61" w:after="0" w:line="185" w:lineRule="auto"/>
        <w:ind w:left="6" w:right="456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注意事项</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用于北美地区的海洋环境，可采用下列表面处理标准：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SSPC-SP10</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代替</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Sa2.5</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0"/>
          <w:w w:val="100"/>
          <w:sz w:val="16"/>
          <w:szCs w:val="16"/>
        </w:rPr>
      </w:r>
    </w:p>
    <w:p>
      <w:pPr>
        <w:spacing w:before="0" w:after="0" w:line="22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SSPC-SP11</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代替</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St3</w:t>
      </w:r>
      <w:r>
        <w:rPr>
          <w:rFonts w:ascii="Arial Unicode MS" w:hAnsi="Arial Unicode MS" w:cs="Arial Unicode MS" w:eastAsia="Arial Unicode MS"/>
          <w:spacing w:val="-2"/>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0"/>
          <w:w w:val="100"/>
          <w:sz w:val="16"/>
          <w:szCs w:val="16"/>
        </w:rPr>
      </w:r>
    </w:p>
    <w:p>
      <w:pPr>
        <w:spacing w:line="224" w:lineRule="exact"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1018" w:space="1274"/>
            <w:col w:w="8468"/>
          </w:cols>
        </w:sectPr>
      </w:pPr>
    </w:p>
    <w:p>
      <w:pPr>
        <w:spacing w:before="39" w:after="0" w:line="274" w:lineRule="auto"/>
        <w:ind w:left="137" w:right="58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施工</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混合</w:t>
      </w:r>
    </w:p>
    <w:p>
      <w:pPr>
        <w:spacing w:before="0" w:after="0" w:line="180" w:lineRule="exact"/>
        <w:jc w:val="left"/>
        <w:rPr>
          <w:sz w:val="18"/>
          <w:szCs w:val="18"/>
        </w:rPr>
      </w:pPr>
      <w:r>
        <w:rPr>
          <w:sz w:val="18"/>
          <w:szCs w:val="18"/>
        </w:rPr>
      </w:r>
    </w:p>
    <w:p>
      <w:pPr>
        <w:spacing w:before="0" w:after="0" w:line="200" w:lineRule="exact"/>
        <w:jc w:val="left"/>
        <w:rPr>
          <w:sz w:val="20"/>
          <w:szCs w:val="20"/>
        </w:rPr>
      </w:pPr>
      <w:r>
        <w:rPr>
          <w:sz w:val="20"/>
          <w:szCs w:val="20"/>
        </w:rPr>
      </w:r>
    </w:p>
    <w:p>
      <w:pPr>
        <w:spacing w:before="0" w:after="0" w:line="240" w:lineRule="auto"/>
        <w:ind w:left="137" w:right="14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稀释剂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无气喷涂</w:t>
      </w:r>
    </w:p>
    <w:p>
      <w:pPr>
        <w:spacing w:before="1" w:after="0" w:line="160" w:lineRule="exact"/>
        <w:jc w:val="left"/>
        <w:rPr>
          <w:sz w:val="16"/>
          <w:szCs w:val="16"/>
        </w:rPr>
      </w:pPr>
      <w:r>
        <w:rPr>
          <w:sz w:val="16"/>
          <w:szCs w:val="16"/>
        </w:rPr>
      </w:r>
    </w:p>
    <w:p>
      <w:pPr>
        <w:spacing w:before="0" w:after="0" w:line="200" w:lineRule="exact"/>
        <w:jc w:val="left"/>
        <w:rPr>
          <w:sz w:val="20"/>
          <w:szCs w:val="20"/>
        </w:rPr>
      </w:pPr>
      <w:r>
        <w:rPr>
          <w:sz w:val="20"/>
          <w:szCs w:val="20"/>
        </w:rPr>
      </w:r>
    </w:p>
    <w:p>
      <w:pPr>
        <w:spacing w:before="0" w:after="0" w:line="366" w:lineRule="exact"/>
        <w:ind w:left="137"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传统型喷涂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刷涂</w:t>
      </w:r>
    </w:p>
    <w:p>
      <w:pPr>
        <w:spacing w:before="0" w:after="0" w:line="352" w:lineRule="exact"/>
        <w:ind w:left="137"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漆辊</w:t>
      </w:r>
      <w:r>
        <w:rPr>
          <w:rFonts w:ascii="Arial Unicode MS" w:hAnsi="Arial Unicode MS" w:cs="Arial Unicode MS" w:eastAsia="Arial Unicode MS"/>
          <w:spacing w:val="0"/>
          <w:w w:val="100"/>
          <w:position w:val="0"/>
          <w:sz w:val="22"/>
          <w:szCs w:val="22"/>
        </w:rPr>
      </w:r>
    </w:p>
    <w:p>
      <w:pPr>
        <w:spacing w:before="30" w:after="0" w:line="366" w:lineRule="exact"/>
        <w:ind w:left="137"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2"/>
          <w:sz w:val="22"/>
          <w:szCs w:val="22"/>
        </w:rPr>
        <w:t>清洁剂</w:t>
      </w:r>
      <w:r>
        <w:rPr>
          <w:rFonts w:ascii="Arial Unicode MS" w:hAnsi="Arial Unicode MS" w:cs="Arial Unicode MS" w:eastAsia="Arial Unicode MS"/>
          <w:spacing w:val="0"/>
          <w:w w:val="100"/>
          <w:position w:val="0"/>
          <w:sz w:val="22"/>
          <w:szCs w:val="22"/>
        </w:rPr>
      </w:r>
    </w:p>
    <w:p>
      <w:pPr>
        <w:spacing w:before="5" w:after="0" w:line="160" w:lineRule="exact"/>
        <w:jc w:val="left"/>
        <w:rPr>
          <w:sz w:val="16"/>
          <w:szCs w:val="16"/>
        </w:rPr>
      </w:pPr>
      <w:r>
        <w:rPr/>
        <w:br w:type="column"/>
      </w:r>
      <w:r>
        <w:rPr>
          <w:sz w:val="16"/>
          <w:szCs w:val="16"/>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185" w:lineRule="auto"/>
        <w:ind w:left="30" w:right="2682"/>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涂料分装在两个容器中，作为一组供应。使用时应始终按供应的比例整组混合。</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(1)采用电动搅拌器搅拌基料(甲组份)。</w:t>
      </w:r>
    </w:p>
    <w:p>
      <w:pPr>
        <w:spacing w:before="0" w:after="0" w:line="224" w:lineRule="exact"/>
        <w:ind w:left="30"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(2)</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混合全部固化剂</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(乙组份)与基料</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(甲组份)，并采用电动搅拌器彻底搅拌。</w:t>
      </w:r>
    </w:p>
    <w:p>
      <w:pPr>
        <w:spacing w:before="26" w:after="0" w:line="382" w:lineRule="exact"/>
        <w:ind w:right="2172" w:firstLine="15"/>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仅在特殊情况下，采用国际牌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GTA220</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。稀释不要超过当地环保法规所所允许的范围。</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推荐使用</w:t>
      </w:r>
    </w:p>
    <w:p>
      <w:pPr>
        <w:spacing w:before="0" w:after="0" w:line="181"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1"/>
          <w:sz w:val="16"/>
          <w:szCs w:val="16"/>
        </w:rPr>
        <w:t>喷嘴尺寸</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0.53-0.66</w:t>
      </w:r>
      <w:r>
        <w:rPr>
          <w:rFonts w:ascii="Arial Unicode MS" w:hAnsi="Arial Unicode MS" w:cs="Arial Unicode MS" w:eastAsia="Arial Unicode MS"/>
          <w:spacing w:val="-7"/>
          <w:w w:val="100"/>
          <w:position w:val="1"/>
          <w:sz w:val="16"/>
          <w:szCs w:val="16"/>
        </w:rPr>
        <w:t> </w:t>
      </w:r>
      <w:r>
        <w:rPr>
          <w:rFonts w:ascii="Arial Unicode MS" w:hAnsi="Arial Unicode MS" w:cs="Arial Unicode MS" w:eastAsia="Arial Unicode MS"/>
          <w:spacing w:val="0"/>
          <w:w w:val="100"/>
          <w:position w:val="1"/>
          <w:sz w:val="16"/>
          <w:szCs w:val="16"/>
        </w:rPr>
        <w:t>毫米</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(21-26</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thou)</w:t>
      </w:r>
      <w:r>
        <w:rPr>
          <w:rFonts w:ascii="Arial Unicode MS" w:hAnsi="Arial Unicode MS" w:cs="Arial Unicode MS" w:eastAsia="Arial Unicode MS"/>
          <w:spacing w:val="0"/>
          <w:w w:val="100"/>
          <w:position w:val="0"/>
          <w:sz w:val="16"/>
          <w:szCs w:val="16"/>
        </w:rPr>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喷嘴处的输出流体总压力不低于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176</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千克/厘米²</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(2500磅/平方英寸)</w:t>
      </w:r>
      <w:r>
        <w:rPr>
          <w:rFonts w:ascii="Arial Unicode MS" w:hAnsi="Arial Unicode MS" w:cs="Arial Unicode MS" w:eastAsia="Arial Unicode MS"/>
          <w:spacing w:val="0"/>
          <w:w w:val="100"/>
          <w:sz w:val="16"/>
          <w:szCs w:val="16"/>
        </w:rPr>
      </w:r>
    </w:p>
    <w:p>
      <w:pPr>
        <w:spacing w:before="8" w:after="0" w:line="316" w:lineRule="auto"/>
        <w:ind w:right="335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不推荐采用传统型喷涂方法进行施工。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刷涂施工仅建议用于小面积。可能需要多道涂层，以达到规定的膜厚。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辊涂施工仅建议用于小面积。可能需要多道涂层，以达到规定的膜厚。</w:t>
      </w:r>
    </w:p>
    <w:p>
      <w:pPr>
        <w:spacing w:before="66" w:after="0" w:line="240" w:lineRule="auto"/>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GTA415/GTA822</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headerReference w:type="default" r:id="rId8"/>
          <w:pgSz w:w="11900" w:h="16820"/>
          <w:pgMar w:header="299" w:footer="1582" w:top="1040" w:bottom="1780" w:left="620" w:right="520"/>
          <w:cols w:num="2" w:equalWidth="0">
            <w:col w:w="1238" w:space="1149"/>
            <w:col w:w="8373"/>
          </w:cols>
        </w:sectPr>
      </w:pPr>
    </w:p>
    <w:p>
      <w:pPr>
        <w:tabs>
          <w:tab w:pos="2380" w:val="left"/>
        </w:tabs>
        <w:spacing w:before="65" w:after="0" w:line="180" w:lineRule="auto"/>
        <w:ind w:left="2387" w:right="268" w:hanging="225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工作中止及清理</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不要让涂料残留在软管、喷枪或喷涂设备中。采用国际牌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GTA415/GTA822</w:t>
      </w:r>
      <w:r>
        <w:rPr>
          <w:rFonts w:ascii="Arial Unicode MS" w:hAnsi="Arial Unicode MS" w:cs="Arial Unicode MS" w:eastAsia="Arial Unicode MS"/>
          <w:spacing w:val="-12"/>
          <w:w w:val="100"/>
          <w:position w:val="0"/>
          <w:sz w:val="16"/>
          <w:szCs w:val="16"/>
        </w:rPr>
        <w:t> </w:t>
      </w:r>
      <w:r>
        <w:rPr>
          <w:rFonts w:ascii="Arial Unicode MS" w:hAnsi="Arial Unicode MS" w:cs="Arial Unicode MS" w:eastAsia="Arial Unicode MS"/>
          <w:spacing w:val="0"/>
          <w:w w:val="100"/>
          <w:position w:val="0"/>
          <w:sz w:val="16"/>
          <w:szCs w:val="16"/>
        </w:rPr>
        <w:t>彻底冲洗所有设备。一组油漆一经混</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合，不应再行密封，施工中如停顿时间过长，建议重新混合各组份，再开始施工。</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所有设备在使用后应立即采用国际牌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GTA415/GTA822</w:t>
      </w:r>
      <w:r>
        <w:rPr>
          <w:rFonts w:ascii="Arial Unicode MS" w:hAnsi="Arial Unicode MS" w:cs="Arial Unicode MS" w:eastAsia="Arial Unicode MS"/>
          <w:spacing w:val="-12"/>
          <w:w w:val="100"/>
          <w:position w:val="0"/>
          <w:sz w:val="16"/>
          <w:szCs w:val="16"/>
        </w:rPr>
        <w:t> </w:t>
      </w:r>
      <w:r>
        <w:rPr>
          <w:rFonts w:ascii="Arial Unicode MS" w:hAnsi="Arial Unicode MS" w:cs="Arial Unicode MS" w:eastAsia="Arial Unicode MS"/>
          <w:spacing w:val="0"/>
          <w:w w:val="100"/>
          <w:position w:val="0"/>
          <w:sz w:val="16"/>
          <w:szCs w:val="16"/>
        </w:rPr>
        <w:t>清洗。喷涂设备需采用该溶剂冲洗。在一天的工作过程中，</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定时冲洗所有喷涂设备是一种良好的工作习惯。清洗次数取决于诸如喷涂数量、温度和使用时间(包括工作中止时</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间)等因素。密切注意涂料状况。不要超过混合后施工时间。</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所有剩余涂料和空容器应按照当地适宜的规章/法律进行处置。</w:t>
      </w:r>
      <w:r>
        <w:rPr>
          <w:rFonts w:ascii="Arial Unicode MS" w:hAnsi="Arial Unicode MS" w:cs="Arial Unicode MS" w:eastAsia="Arial Unicode MS"/>
          <w:spacing w:val="0"/>
          <w:w w:val="100"/>
          <w:position w:val="0"/>
          <w:sz w:val="16"/>
          <w:szCs w:val="16"/>
        </w:rPr>
      </w:r>
    </w:p>
    <w:p>
      <w:pPr>
        <w:spacing w:before="8" w:after="0" w:line="240" w:lineRule="exact"/>
        <w:jc w:val="left"/>
        <w:rPr>
          <w:sz w:val="24"/>
          <w:szCs w:val="24"/>
        </w:rPr>
      </w:pPr>
      <w:r>
        <w:rPr>
          <w:sz w:val="24"/>
          <w:szCs w:val="24"/>
        </w:rPr>
      </w:r>
    </w:p>
    <w:p>
      <w:pPr>
        <w:tabs>
          <w:tab w:pos="2360" w:val="left"/>
        </w:tabs>
        <w:spacing w:before="8" w:after="0" w:line="158" w:lineRule="auto"/>
        <w:ind w:left="2372" w:right="326" w:hanging="2235"/>
        <w:jc w:val="left"/>
        <w:rPr>
          <w:rFonts w:ascii="Arial Unicode MS" w:hAnsi="Arial Unicode MS" w:cs="Arial Unicode MS" w:eastAsia="Arial Unicode MS"/>
          <w:sz w:val="16"/>
          <w:szCs w:val="16"/>
        </w:rPr>
      </w:pPr>
      <w:r>
        <w:rPr/>
        <w:pict>
          <v:group style="position:absolute;margin-left:149.600006pt;margin-top:27.471703pt;width:405.75pt;height:.1pt;mso-position-horizontal-relative:page;mso-position-vertical-relative:paragraph;z-index:-347" coordorigin="2992,549" coordsize="8115,2">
            <v:shape style="position:absolute;left:2992;top:549;width:8115;height:2" coordorigin="2992,549" coordsize="8115,0" path="m2992,549l11107,549e" filled="f" stroked="t" strokeweight="1.5pt" strokecolor="#000000">
              <v:path arrowok="t"/>
            </v:shape>
            <w10:wrap type="none"/>
          </v:group>
        </w:pict>
      </w:r>
      <w:r>
        <w:rPr>
          <w:rFonts w:ascii="Arial Unicode MS" w:hAnsi="Arial Unicode MS" w:cs="Arial Unicode MS" w:eastAsia="Arial Unicode MS"/>
          <w:spacing w:val="0"/>
          <w:w w:val="100"/>
          <w:position w:val="-4"/>
          <w:sz w:val="22"/>
          <w:szCs w:val="22"/>
        </w:rPr>
        <w:t>焊接</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如果在涂有该产品的金属上进行焊接或火焰切割，会散发灰尘和烟雾，需使用合适的个人防护设备及局部通风排气</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设施。在北美，按照</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ANSI/ASC</w:t>
      </w:r>
      <w:r>
        <w:rPr>
          <w:rFonts w:ascii="Arial Unicode MS" w:hAnsi="Arial Unicode MS" w:cs="Arial Unicode MS" w:eastAsia="Arial Unicode MS"/>
          <w:spacing w:val="-7"/>
          <w:w w:val="100"/>
          <w:position w:val="0"/>
          <w:sz w:val="16"/>
          <w:szCs w:val="16"/>
        </w:rPr>
        <w:t> </w:t>
      </w:r>
      <w:r>
        <w:rPr>
          <w:rFonts w:ascii="Arial Unicode MS" w:hAnsi="Arial Unicode MS" w:cs="Arial Unicode MS" w:eastAsia="Arial Unicode MS"/>
          <w:spacing w:val="0"/>
          <w:w w:val="100"/>
          <w:position w:val="0"/>
          <w:sz w:val="16"/>
          <w:szCs w:val="16"/>
        </w:rPr>
        <w:t>Z49.1</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“焊接和切割中的安全事项”中的指示进行操作。</w:t>
      </w:r>
    </w:p>
    <w:p>
      <w:pPr>
        <w:spacing w:before="4" w:after="0" w:line="190" w:lineRule="exact"/>
        <w:jc w:val="left"/>
        <w:rPr>
          <w:sz w:val="19"/>
          <w:szCs w:val="19"/>
        </w:rPr>
      </w:pPr>
      <w:r>
        <w:rPr>
          <w:sz w:val="19"/>
          <w:szCs w:val="19"/>
        </w:rPr>
      </w:r>
    </w:p>
    <w:p>
      <w:pPr>
        <w:tabs>
          <w:tab w:pos="2240" w:val="left"/>
        </w:tabs>
        <w:spacing w:before="0" w:after="0" w:line="297" w:lineRule="exact"/>
        <w:ind w:left="100" w:right="892"/>
        <w:jc w:val="center"/>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安全</w:t>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所有与该产品的施工和使用有关的工作，均应按照国家关于健康、安全和环境保护方面的标准和规定进行。</w:t>
      </w:r>
      <w:r>
        <w:rPr>
          <w:rFonts w:ascii="Arial Unicode MS" w:hAnsi="Arial Unicode MS" w:cs="Arial Unicode MS" w:eastAsia="Arial Unicode MS"/>
          <w:spacing w:val="0"/>
          <w:w w:val="100"/>
          <w:position w:val="0"/>
          <w:sz w:val="16"/>
          <w:szCs w:val="16"/>
        </w:rPr>
      </w:r>
    </w:p>
    <w:p>
      <w:pPr>
        <w:spacing w:before="8" w:after="0" w:line="130" w:lineRule="exact"/>
        <w:jc w:val="left"/>
        <w:rPr>
          <w:sz w:val="13"/>
          <w:szCs w:val="13"/>
        </w:rPr>
      </w:pPr>
      <w:r>
        <w:rPr>
          <w:sz w:val="13"/>
          <w:szCs w:val="13"/>
        </w:rPr>
      </w:r>
    </w:p>
    <w:p>
      <w:pPr>
        <w:spacing w:before="0" w:after="0" w:line="185" w:lineRule="auto"/>
        <w:ind w:left="2291" w:right="407"/>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使用该产品前，应获取、参阅并遵循该产品“材料安全说明书”有关健康和安全方面的信息规定。参阅并遵守“材料安</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全说明书”和包装容器标牌上的所有预防措施。如果您未完全了解这些告诫和规定，或者不能严格遵守，请勿使用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该产品。在该产品的施工和干燥过程中，必须采用合适的通风和防范措施，将溶剂蒸汽浓度控制在安全限定值以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内，以防止发生中毒或缺氧的危险。采取保护措施，避免皮肤和眼睛与该产品接触(例如：手套、护目镜、面罩、</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隔离霜等)。具体安全措施应视施工方法和工作环境而定。</w:t>
      </w:r>
    </w:p>
    <w:p>
      <w:pPr>
        <w:spacing w:before="0" w:after="0" w:line="22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紧急联系电话：</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美国/加拿大</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医疗咨询电话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1-800-854-6813</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欧洲</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联系电话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191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4696111。医院及医生诊视电话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207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6359191</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R.O.W.</w:t>
      </w:r>
      <w:r>
        <w:rPr>
          <w:rFonts w:ascii="Arial Unicode MS" w:hAnsi="Arial Unicode MS" w:cs="Arial Unicode MS" w:eastAsia="Arial Unicode MS"/>
          <w:spacing w:val="-5"/>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与地区办事处联系</w:t>
      </w:r>
    </w:p>
    <w:p>
      <w:pPr>
        <w:spacing w:line="214" w:lineRule="exact" w:after="0"/>
        <w:jc w:val="left"/>
        <w:rPr>
          <w:rFonts w:ascii="Arial Unicode MS" w:hAnsi="Arial Unicode MS" w:cs="Arial Unicode MS" w:eastAsia="Arial Unicode MS"/>
          <w:sz w:val="16"/>
          <w:szCs w:val="16"/>
        </w:rPr>
        <w:sectPr>
          <w:type w:val="continuous"/>
          <w:pgSz w:w="11900" w:h="16820"/>
          <w:pgMar w:top="1040" w:bottom="1780" w:left="620" w:right="520"/>
        </w:sectPr>
      </w:pPr>
    </w:p>
    <w:p>
      <w:pPr>
        <w:spacing w:before="4" w:after="0" w:line="110" w:lineRule="exact"/>
        <w:jc w:val="left"/>
        <w:rPr>
          <w:sz w:val="11"/>
          <w:szCs w:val="11"/>
        </w:rPr>
      </w:pPr>
      <w:r>
        <w:rPr>
          <w:sz w:val="11"/>
          <w:szCs w:val="11"/>
        </w:rPr>
      </w:r>
    </w:p>
    <w:p>
      <w:pPr>
        <w:tabs>
          <w:tab w:pos="2280" w:val="left"/>
        </w:tabs>
        <w:spacing w:before="0" w:after="0" w:line="172" w:lineRule="auto"/>
        <w:ind w:left="2297" w:right="1477" w:hanging="216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限制</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该产品在</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5°C</w:t>
      </w:r>
      <w:r>
        <w:rPr>
          <w:rFonts w:ascii="Arial Unicode MS" w:hAnsi="Arial Unicode MS" w:cs="Arial Unicode MS" w:eastAsia="Arial Unicode MS"/>
          <w:spacing w:val="-3"/>
          <w:w w:val="100"/>
          <w:position w:val="0"/>
          <w:sz w:val="16"/>
          <w:szCs w:val="16"/>
        </w:rPr>
        <w:t> </w:t>
      </w:r>
      <w:r>
        <w:rPr>
          <w:rFonts w:ascii="Arial Unicode MS" w:hAnsi="Arial Unicode MS" w:cs="Arial Unicode MS" w:eastAsia="Arial Unicode MS"/>
          <w:spacing w:val="0"/>
          <w:w w:val="100"/>
          <w:position w:val="0"/>
          <w:sz w:val="16"/>
          <w:szCs w:val="16"/>
        </w:rPr>
        <w:t>以下不会充分固化。为达到最佳性能，固化环境温度应高于</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10°C。</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干燥时间和复涂间隔时间可能会由于现场因素，</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例如：舱室形状或通风速率等的影响而发生变化。</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Intergard</w:t>
      </w:r>
      <w:r>
        <w:rPr>
          <w:rFonts w:ascii="Arial Unicode MS" w:hAnsi="Arial Unicode MS" w:cs="Arial Unicode MS" w:eastAsia="Arial Unicode MS"/>
          <w:spacing w:val="-6"/>
          <w:w w:val="100"/>
          <w:position w:val="0"/>
          <w:sz w:val="16"/>
          <w:szCs w:val="16"/>
        </w:rPr>
        <w:t> </w:t>
      </w:r>
      <w:r>
        <w:rPr>
          <w:rFonts w:ascii="Arial Unicode MS" w:hAnsi="Arial Unicode MS" w:cs="Arial Unicode MS" w:eastAsia="Arial Unicode MS"/>
          <w:spacing w:val="0"/>
          <w:w w:val="100"/>
          <w:position w:val="0"/>
          <w:sz w:val="16"/>
          <w:szCs w:val="16"/>
        </w:rPr>
        <w:t>403</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不得用于包括</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Intergard</w:t>
      </w:r>
      <w:r>
        <w:rPr>
          <w:rFonts w:ascii="Arial Unicode MS" w:hAnsi="Arial Unicode MS" w:cs="Arial Unicode MS" w:eastAsia="Arial Unicode MS"/>
          <w:spacing w:val="-6"/>
          <w:w w:val="100"/>
          <w:position w:val="0"/>
          <w:sz w:val="16"/>
          <w:szCs w:val="16"/>
        </w:rPr>
        <w:t> </w:t>
      </w:r>
      <w:r>
        <w:rPr>
          <w:rFonts w:ascii="Arial Unicode MS" w:hAnsi="Arial Unicode MS" w:cs="Arial Unicode MS" w:eastAsia="Arial Unicode MS"/>
          <w:spacing w:val="0"/>
          <w:w w:val="100"/>
          <w:position w:val="0"/>
          <w:sz w:val="16"/>
          <w:szCs w:val="16"/>
        </w:rPr>
        <w:t>423</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的方案中。</w:t>
      </w:r>
    </w:p>
    <w:p>
      <w:pPr>
        <w:spacing w:before="17" w:after="0" w:line="200" w:lineRule="exact"/>
        <w:jc w:val="left"/>
        <w:rPr>
          <w:sz w:val="20"/>
          <w:szCs w:val="20"/>
        </w:rPr>
      </w:pPr>
      <w:r>
        <w:rPr>
          <w:sz w:val="20"/>
          <w:szCs w:val="20"/>
        </w:rPr>
      </w:r>
    </w:p>
    <w:p>
      <w:pPr>
        <w:spacing w:before="0" w:after="0" w:line="185" w:lineRule="auto"/>
        <w:ind w:left="2297" w:right="242"/>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复涂数据仅作指导之用，应视当地的气候和环境条件而定。有关特殊建议，请向贵处的国际油漆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代表咨询。</w:t>
      </w:r>
    </w:p>
    <w:p>
      <w:pPr>
        <w:spacing w:before="0" w:after="0" w:line="185" w:lineRule="auto"/>
        <w:ind w:left="2297" w:right="241"/>
        <w:jc w:val="left"/>
        <w:rPr>
          <w:rFonts w:ascii="Arial Unicode MS" w:hAnsi="Arial Unicode MS" w:cs="Arial Unicode MS" w:eastAsia="Arial Unicode MS"/>
          <w:sz w:val="16"/>
          <w:szCs w:val="16"/>
        </w:rPr>
      </w:pPr>
      <w:r>
        <w:rPr/>
        <w:pict>
          <v:group style="position:absolute;margin-left:145.850006pt;margin-top:70.008759pt;width:417.6pt;height:.1pt;mso-position-horizontal-relative:page;mso-position-vertical-relative:paragraph;z-index:-346" coordorigin="2917,1400" coordsize="8352,2">
            <v:shape style="position:absolute;left:2917;top:1400;width:8352;height:2" coordorigin="2917,1400" coordsize="8352,0" path="m2917,1400l11269,1400e" filled="f" stroked="t" strokeweight="1.5pt" strokecolor="#000000">
              <v:path arrowok="t"/>
            </v:shape>
            <w10:wrap type="none"/>
          </v:group>
        </w:pict>
      </w:r>
      <w:r>
        <w:rPr>
          <w:rFonts w:ascii="Arial Unicode MS" w:hAnsi="Arial Unicode MS" w:cs="Arial Unicode MS" w:eastAsia="Arial Unicode MS"/>
          <w:spacing w:val="0"/>
          <w:w w:val="100"/>
          <w:sz w:val="16"/>
          <w:szCs w:val="16"/>
        </w:rPr>
        <w:t>在好天气下施工。待涂表面的温度必须至少高于露点</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3°C。除非另有特殊指令，为达到最佳施工性能，在混合和施工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前，将涂料温度提升到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21-27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°C之间。未混合的涂料（在盖紧的容器中）应按该产品说明书“贮存”一节中规定的方式</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进行保护性贮存。此处提及的技术和施工数据之目的，是为制定一个涂料施工程序的总则。测试性能结果来自于受控</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的实验室环境，国际油漆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(InternationalPaint)</w:t>
      </w:r>
      <w:r>
        <w:rPr>
          <w:rFonts w:ascii="Arial Unicode MS" w:hAnsi="Arial Unicode MS" w:cs="Arial Unicode MS" w:eastAsia="Arial Unicode MS"/>
          <w:spacing w:val="-14"/>
          <w:w w:val="100"/>
          <w:sz w:val="16"/>
          <w:szCs w:val="16"/>
        </w:rPr>
        <w:t> </w:t>
      </w:r>
      <w:r>
        <w:rPr>
          <w:rFonts w:ascii="Arial Unicode MS" w:hAnsi="Arial Unicode MS" w:cs="Arial Unicode MS" w:eastAsia="Arial Unicode MS"/>
          <w:spacing w:val="0"/>
          <w:w w:val="100"/>
          <w:sz w:val="16"/>
          <w:szCs w:val="16"/>
        </w:rPr>
        <w:t>并不声称所公布的测试结果，或任何其它测试，精确代表所有现场环境</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99"/>
          <w:sz w:val="16"/>
          <w:szCs w:val="16"/>
        </w:rPr>
        <w:t>中所得到的结果。由于施工应用,</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环境和设计参数变化很大，所以在进行涂料选择、性能证实或使用时应十分小心谨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慎。</w:t>
      </w:r>
    </w:p>
    <w:p>
      <w:pPr>
        <w:spacing w:before="3" w:after="0" w:line="280" w:lineRule="exact"/>
        <w:jc w:val="left"/>
        <w:rPr>
          <w:sz w:val="28"/>
          <w:szCs w:val="28"/>
        </w:rPr>
      </w:pPr>
      <w:r>
        <w:rPr>
          <w:sz w:val="28"/>
          <w:szCs w:val="28"/>
        </w:rPr>
      </w:r>
    </w:p>
    <w:p>
      <w:pPr>
        <w:spacing w:before="0" w:after="0" w:line="280" w:lineRule="exact"/>
        <w:ind w:left="137" w:right="-20"/>
        <w:jc w:val="left"/>
        <w:rPr>
          <w:rFonts w:ascii="Arial Unicode MS" w:hAnsi="Arial Unicode MS" w:cs="Arial Unicode MS" w:eastAsia="Arial Unicode MS"/>
          <w:sz w:val="22"/>
          <w:szCs w:val="22"/>
        </w:rPr>
      </w:pPr>
      <w:r>
        <w:rPr/>
        <w:pict>
          <v:group style="position:absolute;margin-left:37.849998pt;margin-top:2.315146pt;width:522.75pt;height:64.1258pt;mso-position-horizontal-relative:page;mso-position-vertical-relative:paragraph;z-index:-345" coordorigin="757,46" coordsize="10455,1283">
            <v:shape style="position:absolute;left:757;top:46;width:10455;height:1283" coordorigin="757,46" coordsize="10455,1283" path="m757,1329l11212,1329,11212,46,757,46,757,1329xe" filled="t" fillcolor="#D2D2D2" stroked="f">
              <v:path arrowok="t"/>
              <v:fill/>
            </v:shape>
            <w10:wrap type="none"/>
          </v:group>
        </w:pict>
      </w:r>
      <w:r>
        <w:rPr/>
        <w:pict>
          <v:shape style="position:absolute;margin-left:166.5pt;margin-top:2.315146pt;width:394.1pt;height:47.175816pt;mso-position-horizontal-relative:page;mso-position-vertical-relative:paragraph;z-index:-341" type="#_x0000_t202" filled="f" stroked="f">
            <v:textbox inset="0,0,0,0">
              <w:txbxContent>
                <w:tbl>
                  <w:tblPr>
                    <w:tblW w:w="0" w:type="auto"/>
                    <w:jc w:val="left"/>
                    <w:tblLayout w:type="fixed"/>
                    <w:tblCellMar>
                      <w:top w:w="0" w:type="dxa"/>
                      <w:left w:w="0" w:type="dxa"/>
                      <w:bottom w:w="0" w:type="dxa"/>
                      <w:right w:w="0" w:type="dxa"/>
                    </w:tblCellMar>
                    <w:tblLook w:val="01E0"/>
                  </w:tblPr>
                  <w:tblGrid/>
                  <w:tr>
                    <w:trPr>
                      <w:trHeight w:val="169" w:hRule="exact"/>
                    </w:trPr>
                    <w:tc>
                      <w:tcPr>
                        <w:tcW w:w="959"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包装规格</w:t>
                        </w:r>
                        <w:r>
                          <w:rPr>
                            <w:rFonts w:ascii="Arial Unicode MS" w:hAnsi="Arial Unicode MS" w:cs="Arial Unicode MS" w:eastAsia="Arial Unicode MS"/>
                            <w:spacing w:val="0"/>
                            <w:w w:val="100"/>
                            <w:position w:val="0"/>
                            <w:sz w:val="14"/>
                            <w:szCs w:val="14"/>
                          </w:rPr>
                        </w: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73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甲组份</w:t>
                        </w:r>
                        <w:r>
                          <w:rPr>
                            <w:rFonts w:ascii="Arial Unicode MS" w:hAnsi="Arial Unicode MS" w:cs="Arial Unicode MS" w:eastAsia="Arial Unicode MS"/>
                            <w:spacing w:val="0"/>
                            <w:w w:val="100"/>
                            <w:position w:val="0"/>
                            <w:sz w:val="14"/>
                            <w:szCs w:val="14"/>
                          </w:rPr>
                        </w:r>
                      </w:p>
                    </w:tc>
                    <w:tc>
                      <w:tcPr>
                        <w:tcW w:w="898" w:type="dxa"/>
                        <w:tcBorders>
                          <w:top w:val="nil" w:sz="6" w:space="0" w:color="auto"/>
                          <w:left w:val="nil" w:sz="6" w:space="0" w:color="auto"/>
                          <w:bottom w:val="nil" w:sz="6" w:space="0" w:color="auto"/>
                          <w:right w:val="nil" w:sz="6" w:space="0" w:color="auto"/>
                        </w:tcBorders>
                        <w:shd w:val="clear" w:color="auto" w:fill="D2D2D2"/>
                      </w:tcPr>
                      <w:p>
                        <w:pP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66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乙组份</w:t>
                        </w:r>
                        <w:r>
                          <w:rPr>
                            <w:rFonts w:ascii="Arial Unicode MS" w:hAnsi="Arial Unicode MS" w:cs="Arial Unicode MS" w:eastAsia="Arial Unicode MS"/>
                            <w:spacing w:val="0"/>
                            <w:w w:val="100"/>
                            <w:position w:val="0"/>
                            <w:sz w:val="14"/>
                            <w:szCs w:val="14"/>
                          </w:rPr>
                        </w:r>
                      </w:p>
                    </w:tc>
                    <w:tc>
                      <w:tcPr>
                        <w:tcW w:w="3700" w:type="dxa"/>
                        <w:tcBorders>
                          <w:top w:val="nil" w:sz="6" w:space="0" w:color="auto"/>
                          <w:left w:val="nil" w:sz="6" w:space="0" w:color="auto"/>
                          <w:bottom w:val="nil" w:sz="6" w:space="0" w:color="auto"/>
                          <w:right w:val="nil" w:sz="6" w:space="0" w:color="auto"/>
                        </w:tcBorders>
                        <w:shd w:val="clear" w:color="auto" w:fill="D2D2D2"/>
                      </w:tcPr>
                      <w:p>
                        <w:pPr/>
                      </w:p>
                    </w:tc>
                  </w:tr>
                  <w:tr>
                    <w:trPr>
                      <w:trHeight w:val="225" w:hRule="exact"/>
                    </w:trPr>
                    <w:tc>
                      <w:tcPr>
                        <w:tcW w:w="959" w:type="dxa"/>
                        <w:tcBorders>
                          <w:top w:val="nil" w:sz="6" w:space="0" w:color="auto"/>
                          <w:left w:val="nil" w:sz="6" w:space="0" w:color="auto"/>
                          <w:bottom w:val="nil" w:sz="6" w:space="0" w:color="auto"/>
                          <w:right w:val="nil" w:sz="6" w:space="0" w:color="auto"/>
                        </w:tcBorders>
                        <w:shd w:val="clear" w:color="auto" w:fill="D2D2D2"/>
                      </w:tcPr>
                      <w:p>
                        <w:pP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406" w:right="424"/>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体积</w:t>
                        </w:r>
                      </w:p>
                    </w:tc>
                    <w:tc>
                      <w:tcPr>
                        <w:tcW w:w="898"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1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包装</w:t>
                        </w: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359" w:right="414"/>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体积</w:t>
                        </w:r>
                      </w:p>
                    </w:tc>
                    <w:tc>
                      <w:tcPr>
                        <w:tcW w:w="3700"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11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包装</w:t>
                        </w:r>
                      </w:p>
                    </w:tc>
                  </w:tr>
                  <w:tr>
                    <w:trPr>
                      <w:trHeight w:val="550" w:hRule="exact"/>
                    </w:trPr>
                    <w:tc>
                      <w:tcPr>
                        <w:tcW w:w="959"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7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20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4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38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16</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898"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6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20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39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4</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2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3700"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12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5</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5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r>
                </w:tbl>
                <w:p>
                  <w:pPr>
                    <w:spacing w:before="0" w:after="0" w:line="240" w:lineRule="auto"/>
                    <w:jc w:val="left"/>
                  </w:pPr>
                </w:p>
              </w:txbxContent>
            </v:textbox>
            <w10:wrap type="none"/>
          </v:shape>
        </w:pict>
      </w:r>
      <w:r>
        <w:rPr>
          <w:rFonts w:ascii="Arial Unicode MS" w:hAnsi="Arial Unicode MS" w:cs="Arial Unicode MS" w:eastAsia="Arial Unicode MS"/>
          <w:spacing w:val="0"/>
          <w:w w:val="100"/>
          <w:position w:val="0"/>
          <w:sz w:val="22"/>
          <w:szCs w:val="22"/>
        </w:rPr>
        <w:t>包装规格</w:t>
      </w:r>
      <w:r>
        <w:rPr>
          <w:rFonts w:ascii="Arial Unicode MS" w:hAnsi="Arial Unicode MS" w:cs="Arial Unicode MS" w:eastAsia="Arial Unicode MS"/>
          <w:spacing w:val="0"/>
          <w:w w:val="100"/>
          <w:position w:val="0"/>
          <w:sz w:val="22"/>
          <w:szCs w:val="22"/>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5" w:after="0" w:line="200" w:lineRule="exact"/>
        <w:jc w:val="left"/>
        <w:rPr>
          <w:sz w:val="20"/>
          <w:szCs w:val="20"/>
        </w:rPr>
      </w:pPr>
      <w:r>
        <w:rPr>
          <w:sz w:val="20"/>
          <w:szCs w:val="20"/>
        </w:rPr>
      </w:r>
    </w:p>
    <w:p>
      <w:pPr>
        <w:spacing w:before="0" w:after="0" w:line="215" w:lineRule="exact"/>
        <w:ind w:left="229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99"/>
          <w:position w:val="0"/>
          <w:sz w:val="14"/>
          <w:szCs w:val="14"/>
        </w:rPr>
        <w:t>有关其它包装尺寸，请向国际油漆</w:t>
      </w:r>
      <w:r>
        <w:rPr>
          <w:rFonts w:ascii="Arial Unicode MS" w:hAnsi="Arial Unicode MS" w:cs="Arial Unicode MS" w:eastAsia="Arial Unicode MS"/>
          <w:spacing w:val="0"/>
          <w:w w:val="99"/>
          <w:position w:val="0"/>
          <w:sz w:val="14"/>
          <w:szCs w:val="14"/>
        </w:rPr>
        <w:t> </w:t>
      </w:r>
      <w:r>
        <w:rPr>
          <w:rFonts w:ascii="Arial Unicode MS" w:hAnsi="Arial Unicode MS" w:cs="Arial Unicode MS" w:eastAsia="Arial Unicode MS"/>
          <w:spacing w:val="0"/>
          <w:w w:val="100"/>
          <w:position w:val="0"/>
          <w:sz w:val="14"/>
          <w:szCs w:val="14"/>
        </w:rPr>
        <w:t>(International</w:t>
      </w:r>
      <w:r>
        <w:rPr>
          <w:rFonts w:ascii="Arial Unicode MS" w:hAnsi="Arial Unicode MS" w:cs="Arial Unicode MS" w:eastAsia="Arial Unicode MS"/>
          <w:spacing w:val="-8"/>
          <w:w w:val="100"/>
          <w:position w:val="0"/>
          <w:sz w:val="14"/>
          <w:szCs w:val="14"/>
        </w:rPr>
        <w:t> </w:t>
      </w:r>
      <w:r>
        <w:rPr>
          <w:rFonts w:ascii="Arial Unicode MS" w:hAnsi="Arial Unicode MS" w:cs="Arial Unicode MS" w:eastAsia="Arial Unicode MS"/>
          <w:spacing w:val="0"/>
          <w:w w:val="100"/>
          <w:position w:val="0"/>
          <w:sz w:val="14"/>
          <w:szCs w:val="14"/>
        </w:rPr>
        <w:t>Paint)</w:t>
      </w:r>
      <w:r>
        <w:rPr>
          <w:rFonts w:ascii="Arial Unicode MS" w:hAnsi="Arial Unicode MS" w:cs="Arial Unicode MS" w:eastAsia="Arial Unicode MS"/>
          <w:spacing w:val="-4"/>
          <w:w w:val="100"/>
          <w:position w:val="0"/>
          <w:sz w:val="14"/>
          <w:szCs w:val="14"/>
        </w:rPr>
        <w:t> </w:t>
      </w:r>
      <w:r>
        <w:rPr>
          <w:rFonts w:ascii="Arial Unicode MS" w:hAnsi="Arial Unicode MS" w:cs="Arial Unicode MS" w:eastAsia="Arial Unicode MS"/>
          <w:spacing w:val="0"/>
          <w:w w:val="100"/>
          <w:position w:val="0"/>
          <w:sz w:val="14"/>
          <w:szCs w:val="14"/>
        </w:rPr>
        <w:t>咨询。</w:t>
      </w:r>
      <w:r>
        <w:rPr>
          <w:rFonts w:ascii="Arial Unicode MS" w:hAnsi="Arial Unicode MS" w:cs="Arial Unicode MS" w:eastAsia="Arial Unicode MS"/>
          <w:spacing w:val="0"/>
          <w:w w:val="100"/>
          <w:position w:val="0"/>
          <w:sz w:val="14"/>
          <w:szCs w:val="14"/>
        </w:rPr>
      </w:r>
    </w:p>
    <w:p>
      <w:pPr>
        <w:tabs>
          <w:tab w:pos="2740" w:val="left"/>
          <w:tab w:pos="4540" w:val="left"/>
        </w:tabs>
        <w:spacing w:before="8" w:after="0" w:line="240" w:lineRule="auto"/>
        <w:ind w:left="137" w:right="-20"/>
        <w:jc w:val="left"/>
        <w:rPr>
          <w:rFonts w:ascii="Arial Unicode MS" w:hAnsi="Arial Unicode MS" w:cs="Arial Unicode MS" w:eastAsia="Arial Unicode MS"/>
          <w:sz w:val="14"/>
          <w:szCs w:val="14"/>
        </w:rPr>
      </w:pPr>
      <w:r>
        <w:rPr/>
        <w:pict>
          <v:group style="position:absolute;margin-left:37.849998pt;margin-top:6.959191pt;width:522.75pt;height:40.8819pt;mso-position-horizontal-relative:page;mso-position-vertical-relative:paragraph;z-index:-344" coordorigin="757,139" coordsize="10455,818">
            <v:shape style="position:absolute;left:757;top:139;width:10455;height:818" coordorigin="757,139" coordsize="10455,818" path="m757,957l11212,957,11212,139,757,139,757,957xe" filled="t" fillcolor="#D2D2D2" stroked="f">
              <v:path arrowok="t"/>
              <v:fill/>
            </v:shape>
            <w10:wrap type="none"/>
          </v:group>
        </w:pict>
      </w:r>
      <w:r>
        <w:rPr>
          <w:rFonts w:ascii="Arial Unicode MS" w:hAnsi="Arial Unicode MS" w:cs="Arial Unicode MS" w:eastAsia="Arial Unicode MS"/>
          <w:spacing w:val="0"/>
          <w:w w:val="100"/>
          <w:position w:val="-6"/>
          <w:sz w:val="22"/>
          <w:szCs w:val="22"/>
        </w:rPr>
        <w:t>单位装运重量</w:t>
        <w:tab/>
      </w:r>
      <w:r>
        <w:rPr>
          <w:rFonts w:ascii="Arial Unicode MS" w:hAnsi="Arial Unicode MS" w:cs="Arial Unicode MS" w:eastAsia="Arial Unicode MS"/>
          <w:spacing w:val="0"/>
          <w:w w:val="100"/>
          <w:position w:val="-6"/>
          <w:sz w:val="22"/>
          <w:szCs w:val="22"/>
        </w:rPr>
      </w:r>
      <w:r>
        <w:rPr>
          <w:rFonts w:ascii="Arial Unicode MS" w:hAnsi="Arial Unicode MS" w:cs="Arial Unicode MS" w:eastAsia="Arial Unicode MS"/>
          <w:spacing w:val="0"/>
          <w:w w:val="100"/>
          <w:position w:val="0"/>
          <w:sz w:val="14"/>
          <w:szCs w:val="14"/>
        </w:rPr>
        <w:t>包装规格</w:t>
        <w:tab/>
      </w:r>
      <w:r>
        <w:rPr>
          <w:rFonts w:ascii="Arial Unicode MS" w:hAnsi="Arial Unicode MS" w:cs="Arial Unicode MS" w:eastAsia="Arial Unicode MS"/>
          <w:spacing w:val="0"/>
          <w:w w:val="100"/>
          <w:position w:val="0"/>
          <w:sz w:val="14"/>
          <w:szCs w:val="14"/>
        </w:rPr>
        <w:t>包装重量</w:t>
      </w:r>
    </w:p>
    <w:p>
      <w:pPr>
        <w:tabs>
          <w:tab w:pos="4500" w:val="left"/>
        </w:tabs>
        <w:spacing w:before="0" w:after="0" w:line="178" w:lineRule="exact"/>
        <w:ind w:left="278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公升</w:t>
        <w:tab/>
      </w:r>
      <w:r>
        <w:rPr>
          <w:rFonts w:ascii="Arial Unicode MS" w:hAnsi="Arial Unicode MS" w:cs="Arial Unicode MS" w:eastAsia="Arial Unicode MS"/>
          <w:spacing w:val="0"/>
          <w:w w:val="100"/>
          <w:sz w:val="14"/>
          <w:szCs w:val="14"/>
        </w:rPr>
        <w:t>28.84</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千克</w:t>
      </w:r>
    </w:p>
    <w:p>
      <w:pPr>
        <w:tabs>
          <w:tab w:pos="4660" w:val="left"/>
        </w:tabs>
        <w:spacing w:before="2" w:after="0" w:line="233" w:lineRule="exact"/>
        <w:ind w:left="275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5</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美加仑</w:t>
        <w:tab/>
      </w:r>
      <w:r>
        <w:rPr>
          <w:rFonts w:ascii="Arial Unicode MS" w:hAnsi="Arial Unicode MS" w:cs="Arial Unicode MS" w:eastAsia="Arial Unicode MS"/>
          <w:spacing w:val="0"/>
          <w:w w:val="100"/>
          <w:position w:val="-1"/>
          <w:sz w:val="14"/>
          <w:szCs w:val="14"/>
        </w:rPr>
        <w:t>61</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磅</w:t>
      </w:r>
      <w:r>
        <w:rPr>
          <w:rFonts w:ascii="Arial Unicode MS" w:hAnsi="Arial Unicode MS" w:cs="Arial Unicode MS" w:eastAsia="Arial Unicode MS"/>
          <w:spacing w:val="0"/>
          <w:w w:val="100"/>
          <w:position w:val="0"/>
          <w:sz w:val="14"/>
          <w:szCs w:val="14"/>
        </w:rPr>
      </w:r>
    </w:p>
    <w:p>
      <w:pPr>
        <w:spacing w:before="14" w:after="0" w:line="200" w:lineRule="exact"/>
        <w:jc w:val="left"/>
        <w:rPr>
          <w:sz w:val="20"/>
          <w:szCs w:val="20"/>
        </w:rPr>
      </w:pPr>
      <w:r>
        <w:rPr>
          <w:sz w:val="20"/>
          <w:szCs w:val="20"/>
        </w:rPr>
      </w:r>
    </w:p>
    <w:p>
      <w:pPr>
        <w:tabs>
          <w:tab w:pos="2320" w:val="left"/>
          <w:tab w:pos="3820" w:val="left"/>
        </w:tabs>
        <w:spacing w:before="0" w:after="0" w:line="284" w:lineRule="exact"/>
        <w:ind w:left="137" w:right="-20"/>
        <w:jc w:val="left"/>
        <w:rPr>
          <w:rFonts w:ascii="Arial Unicode MS" w:hAnsi="Arial Unicode MS" w:cs="Arial Unicode MS" w:eastAsia="Arial Unicode MS"/>
          <w:sz w:val="16"/>
          <w:szCs w:val="16"/>
        </w:rPr>
      </w:pPr>
      <w:r>
        <w:rPr/>
        <w:pict>
          <v:group style="position:absolute;margin-left:37.349998pt;margin-top:2.002024pt;width:524.5pt;height:20.9882pt;mso-position-horizontal-relative:page;mso-position-vertical-relative:paragraph;z-index:-343" coordorigin="747,40" coordsize="10490,420">
            <v:group style="position:absolute;left:757;top:50;width:10470;height:400" coordorigin="757,50" coordsize="10470,400">
              <v:shape style="position:absolute;left:757;top:50;width:10470;height:400" coordorigin="757,50" coordsize="10470,400" path="m757,450l11227,450,11227,50,757,50,757,450xe" filled="t" fillcolor="#D2D2D2" stroked="f">
                <v:path arrowok="t"/>
                <v:fill/>
              </v:shape>
            </v:group>
            <v:group style="position:absolute;left:2917;top:435;width:8280;height:2" coordorigin="2917,435" coordsize="8280,2">
              <v:shape style="position:absolute;left:2917;top:435;width:8280;height:2" coordorigin="2917,435" coordsize="8280,0" path="m2917,435l11197,435e" filled="f" stroked="t" strokeweight="1.5pt" strokecolor="#000000">
                <v:path arrowok="t"/>
              </v:shape>
            </v:group>
            <w10:wrap type="none"/>
          </v:group>
        </w:pict>
      </w:r>
      <w:r>
        <w:rPr>
          <w:rFonts w:ascii="Arial Unicode MS" w:hAnsi="Arial Unicode MS" w:cs="Arial Unicode MS" w:eastAsia="Arial Unicode MS"/>
          <w:spacing w:val="0"/>
          <w:w w:val="100"/>
          <w:position w:val="0"/>
          <w:sz w:val="22"/>
          <w:szCs w:val="22"/>
        </w:rPr>
        <w:t>贮存</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保存期限</w:t>
        <w:tab/>
      </w:r>
      <w:r>
        <w:rPr>
          <w:rFonts w:ascii="Arial Unicode MS" w:hAnsi="Arial Unicode MS" w:cs="Arial Unicode MS" w:eastAsia="Arial Unicode MS"/>
          <w:spacing w:val="0"/>
          <w:w w:val="100"/>
          <w:position w:val="4"/>
          <w:sz w:val="16"/>
          <w:szCs w:val="16"/>
        </w:rPr>
        <w:t>在</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25°C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时，最短为</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12</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个月。此后需复查。贮存于干燥遮蔽之处，远离热源及火种。</w:t>
      </w:r>
      <w:r>
        <w:rPr>
          <w:rFonts w:ascii="Arial Unicode MS" w:hAnsi="Arial Unicode MS" w:cs="Arial Unicode MS" w:eastAsia="Arial Unicode MS"/>
          <w:spacing w:val="0"/>
          <w:w w:val="100"/>
          <w:position w:val="0"/>
          <w:sz w:val="16"/>
          <w:szCs w:val="16"/>
        </w:rPr>
      </w:r>
    </w:p>
    <w:p>
      <w:pPr>
        <w:spacing w:before="3" w:after="0" w:line="140" w:lineRule="exact"/>
        <w:jc w:val="left"/>
        <w:rPr>
          <w:sz w:val="14"/>
          <w:szCs w:val="14"/>
        </w:rPr>
      </w:pPr>
      <w:r>
        <w:rPr>
          <w:sz w:val="14"/>
          <w:szCs w:val="14"/>
        </w:rPr>
      </w:r>
    </w:p>
    <w:p>
      <w:pPr>
        <w:spacing w:before="0" w:after="0" w:line="200" w:lineRule="exact"/>
        <w:jc w:val="left"/>
        <w:rPr>
          <w:sz w:val="20"/>
          <w:szCs w:val="20"/>
        </w:rPr>
      </w:pPr>
      <w:r>
        <w:rPr>
          <w:sz w:val="20"/>
          <w:szCs w:val="20"/>
        </w:rPr>
      </w:r>
    </w:p>
    <w:p>
      <w:pPr>
        <w:spacing w:line="200" w:lineRule="exact" w:after="0"/>
        <w:jc w:val="left"/>
        <w:rPr>
          <w:sz w:val="20"/>
          <w:szCs w:val="20"/>
        </w:rPr>
        <w:sectPr>
          <w:pgSz w:w="11900" w:h="16820"/>
          <w:pgMar w:header="299" w:footer="1582" w:top="1040" w:bottom="1780" w:left="620" w:right="520"/>
        </w:sectPr>
      </w:pPr>
    </w:p>
    <w:p>
      <w:pPr>
        <w:spacing w:before="0" w:after="0" w:line="284" w:lineRule="exact"/>
        <w:ind w:left="11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全球供应情况</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咨询。</w:t>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20"/>
          <w:cols w:num="2" w:equalWidth="0">
            <w:col w:w="1438" w:space="840"/>
            <w:col w:w="8482"/>
          </w:cols>
        </w:sectPr>
      </w:pPr>
    </w:p>
    <w:p>
      <w:pPr>
        <w:spacing w:before="0" w:after="0" w:line="200" w:lineRule="exact"/>
        <w:jc w:val="left"/>
        <w:rPr>
          <w:sz w:val="20"/>
          <w:szCs w:val="20"/>
        </w:rPr>
      </w:pPr>
      <w:r>
        <w:rPr>
          <w:sz w:val="20"/>
          <w:szCs w:val="20"/>
        </w:rPr>
      </w:r>
    </w:p>
    <w:p>
      <w:pPr>
        <w:spacing w:line="200" w:lineRule="exact" w:after="0"/>
        <w:jc w:val="left"/>
        <w:rPr>
          <w:sz w:val="20"/>
          <w:szCs w:val="20"/>
        </w:rPr>
        <w:sectPr>
          <w:type w:val="continuous"/>
          <w:pgSz w:w="11900" w:h="16820"/>
          <w:pgMar w:top="1040" w:bottom="1780" w:left="620" w:right="520"/>
        </w:sectPr>
      </w:pPr>
    </w:p>
    <w:p>
      <w:pPr>
        <w:spacing w:before="0" w:after="0" w:line="306" w:lineRule="exact"/>
        <w:ind w:left="117" w:right="-73"/>
        <w:jc w:val="left"/>
        <w:rPr>
          <w:rFonts w:ascii="Arial Unicode MS" w:hAnsi="Arial Unicode MS" w:cs="Arial Unicode MS" w:eastAsia="Arial Unicode MS"/>
          <w:sz w:val="22"/>
          <w:szCs w:val="22"/>
        </w:rPr>
      </w:pPr>
      <w:r>
        <w:rPr/>
        <w:pict>
          <v:group style="position:absolute;margin-left:144.860001pt;margin-top:-3.425402pt;width:414pt;height:.1pt;mso-position-horizontal-relative:page;mso-position-vertical-relative:paragraph;z-index:-342" coordorigin="2897,-69" coordsize="8280,2">
            <v:shape style="position:absolute;left:2897;top:-69;width:8280;height:2" coordorigin="2897,-69" coordsize="8280,0" path="m2897,-69l11177,-69e" filled="f" stroked="t" strokeweight="1.5pt" strokecolor="#000000">
              <v:path arrowok="t"/>
            </v:shape>
            <w10:wrap type="none"/>
          </v:group>
        </w:pict>
      </w:r>
      <w:r>
        <w:rPr>
          <w:rFonts w:ascii="Arial Unicode MS" w:hAnsi="Arial Unicode MS" w:cs="Arial Unicode MS" w:eastAsia="Arial Unicode MS"/>
          <w:spacing w:val="0"/>
          <w:w w:val="100"/>
          <w:sz w:val="22"/>
          <w:szCs w:val="22"/>
        </w:rPr>
        <w:t>重要声明</w:t>
      </w:r>
    </w:p>
    <w:p>
      <w:pPr>
        <w:spacing w:before="24" w:after="0" w:line="185" w:lineRule="auto"/>
        <w:ind w:left="6" w:right="272"/>
        <w:jc w:val="left"/>
        <w:rPr>
          <w:rFonts w:ascii="Arial Unicode MS" w:hAnsi="Arial Unicode MS" w:cs="Arial Unicode MS" w:eastAsia="Arial Unicode MS"/>
          <w:sz w:val="12"/>
          <w:szCs w:val="12"/>
        </w:rPr>
      </w:pPr>
      <w:r>
        <w:rPr/>
        <w:br w:type="column"/>
      </w:r>
      <w:r>
        <w:rPr>
          <w:rFonts w:ascii="Arial Unicode MS" w:hAnsi="Arial Unicode MS" w:cs="Arial Unicode MS" w:eastAsia="Arial Unicode MS"/>
          <w:spacing w:val="0"/>
          <w:w w:val="100"/>
          <w:sz w:val="12"/>
          <w:szCs w:val="12"/>
        </w:rPr>
        <w:t>该产品说明书中所提供的资料并非详尽无遗，任何人因任何原因，未首先经我们书面确认而使用本说明书特别推荐以外的任何产品，则自行承担产品对其预</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期目的适用性这一风险。虽然我们竭力保证我们对产品所提供的所有建议(无论在本说明书中或以其它方式提供的)均正确无误，但我们无法控制底材的质量</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或状况或影响该产品施工和使用的多种因素。因此，除非我们特地书面同意这种做法，否则我们对于所产生的任何产品性能问题不负责任，或因使用产品而</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导致的损失或损坏在法律允许的最大范围内概不负责。</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所有供应的产品及提供的技术指导隶属于我们的标准销售条款和条件。您应获取本文件的副本并仔</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细阅读。该产品说明书所包含资料将根据经验及我们不断开发产品的政策随时进行修改。</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在使用产品前，与当地“国际油漆代表”一起检查所持产品说明书为</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最新版本是用户的职责。</w:t>
      </w:r>
    </w:p>
    <w:p>
      <w:pPr>
        <w:spacing w:before="1" w:after="0" w:line="120" w:lineRule="exact"/>
        <w:jc w:val="left"/>
        <w:rPr>
          <w:sz w:val="12"/>
          <w:szCs w:val="12"/>
        </w:rPr>
      </w:pPr>
      <w:r>
        <w:rPr>
          <w:sz w:val="12"/>
          <w:szCs w:val="12"/>
        </w:rPr>
      </w:r>
    </w:p>
    <w:p>
      <w:pPr>
        <w:spacing w:before="0" w:after="0" w:line="240" w:lineRule="auto"/>
        <w:ind w:right="-20"/>
        <w:jc w:val="left"/>
        <w:rPr>
          <w:rFonts w:ascii="Arial Unicode MS" w:hAnsi="Arial Unicode MS" w:cs="Arial Unicode MS" w:eastAsia="Arial Unicode MS"/>
          <w:sz w:val="12"/>
          <w:szCs w:val="12"/>
        </w:rPr>
      </w:pPr>
      <w:r>
        <w:rPr/>
        <w:pict>
          <v:shape style="width:58.54pt;height:7pt;mso-position-horizontal-relative:char;mso-position-vertical-relative:line" type="#_x0000_t75">
            <v:imagedata r:id="rId9" o:title=""/>
          </v:shape>
        </w:pict>
      </w:r>
      <w:r>
        <w:rPr>
          <w:rFonts w:ascii="Arial Unicode MS" w:hAnsi="Arial Unicode MS" w:cs="Arial Unicode MS" w:eastAsia="Arial Unicode MS"/>
          <w:spacing w:val="0"/>
          <w:w w:val="100"/>
          <w:position w:val="0"/>
          <w:sz w:val="12"/>
          <w:szCs w:val="12"/>
        </w:rPr>
        <w:t>以及所有本产品说明书中提到的产品名称均为AkzoNobel（阿克苏诺贝尔）之商标或已许可给AkzoNobel（阿克苏诺贝尔）。</w:t>
      </w:r>
      <w:r>
        <w:rPr>
          <w:rFonts w:ascii="Arial Unicode MS" w:hAnsi="Arial Unicode MS" w:cs="Arial Unicode MS" w:eastAsia="Arial Unicode MS"/>
          <w:spacing w:val="0"/>
          <w:w w:val="100"/>
          <w:position w:val="0"/>
          <w:sz w:val="12"/>
          <w:szCs w:val="12"/>
        </w:rPr>
      </w:r>
    </w:p>
    <w:p>
      <w:pPr>
        <w:spacing w:before="9" w:after="0" w:line="110" w:lineRule="exact"/>
        <w:jc w:val="left"/>
        <w:rPr>
          <w:sz w:val="11"/>
          <w:szCs w:val="11"/>
        </w:rPr>
      </w:pPr>
      <w:r>
        <w:rPr>
          <w:sz w:val="11"/>
          <w:szCs w:val="11"/>
        </w:rPr>
      </w:r>
    </w:p>
    <w:p>
      <w:pPr>
        <w:spacing w:before="0" w:after="0" w:line="240" w:lineRule="auto"/>
        <w:ind w:left="6" w:right="-20"/>
        <w:jc w:val="left"/>
        <w:rPr>
          <w:rFonts w:ascii="Arial" w:hAnsi="Arial" w:cs="Arial" w:eastAsia="Arial"/>
          <w:sz w:val="12"/>
          <w:szCs w:val="12"/>
        </w:rPr>
      </w:pPr>
      <w:r>
        <w:rPr>
          <w:rFonts w:ascii="Arial" w:hAnsi="Arial" w:cs="Arial" w:eastAsia="Arial"/>
          <w:b/>
          <w:bCs/>
          <w:spacing w:val="0"/>
          <w:w w:val="100"/>
          <w:sz w:val="12"/>
          <w:szCs w:val="12"/>
        </w:rPr>
        <w:t>©</w:t>
      </w:r>
      <w:r>
        <w:rPr>
          <w:rFonts w:ascii="Arial" w:hAnsi="Arial" w:cs="Arial" w:eastAsia="Arial"/>
          <w:b/>
          <w:bCs/>
          <w:spacing w:val="-1"/>
          <w:w w:val="100"/>
          <w:sz w:val="12"/>
          <w:szCs w:val="12"/>
        </w:rPr>
        <w:t> </w:t>
      </w:r>
      <w:r>
        <w:rPr>
          <w:rFonts w:ascii="Arial" w:hAnsi="Arial" w:cs="Arial" w:eastAsia="Arial"/>
          <w:b/>
          <w:bCs/>
          <w:spacing w:val="0"/>
          <w:w w:val="100"/>
          <w:sz w:val="12"/>
          <w:szCs w:val="12"/>
        </w:rPr>
        <w:t>AkzoNobel,</w:t>
      </w:r>
      <w:r>
        <w:rPr>
          <w:rFonts w:ascii="Arial" w:hAnsi="Arial" w:cs="Arial" w:eastAsia="Arial"/>
          <w:b/>
          <w:bCs/>
          <w:spacing w:val="-8"/>
          <w:w w:val="100"/>
          <w:sz w:val="12"/>
          <w:szCs w:val="12"/>
        </w:rPr>
        <w:t> </w:t>
      </w:r>
      <w:r>
        <w:rPr>
          <w:rFonts w:ascii="Arial" w:hAnsi="Arial" w:cs="Arial" w:eastAsia="Arial"/>
          <w:b/>
          <w:bCs/>
          <w:spacing w:val="0"/>
          <w:w w:val="100"/>
          <w:sz w:val="12"/>
          <w:szCs w:val="12"/>
        </w:rPr>
        <w:t>2009</w:t>
      </w:r>
      <w:r>
        <w:rPr>
          <w:rFonts w:ascii="Arial" w:hAnsi="Arial" w:cs="Arial" w:eastAsia="Arial"/>
          <w:spacing w:val="0"/>
          <w:w w:val="100"/>
          <w:sz w:val="12"/>
          <w:szCs w:val="12"/>
        </w:rPr>
      </w:r>
    </w:p>
    <w:p>
      <w:pPr>
        <w:spacing w:before="27" w:after="0" w:line="240" w:lineRule="auto"/>
        <w:ind w:left="20" w:right="-20"/>
        <w:jc w:val="left"/>
        <w:rPr>
          <w:rFonts w:ascii="Arial" w:hAnsi="Arial" w:cs="Arial" w:eastAsia="Arial"/>
          <w:sz w:val="18"/>
          <w:szCs w:val="18"/>
        </w:rPr>
      </w:pPr>
      <w:r>
        <w:rPr>
          <w:rFonts w:ascii="Arial" w:hAnsi="Arial" w:cs="Arial" w:eastAsia="Arial"/>
          <w:color w:val="0000FF"/>
          <w:sz w:val="18"/>
          <w:szCs w:val="18"/>
        </w:rPr>
      </w:r>
      <w:hyperlink r:id="rId10">
        <w:r>
          <w:rPr>
            <w:rFonts w:ascii="Arial" w:hAnsi="Arial" w:cs="Arial" w:eastAsia="Arial"/>
            <w:color w:val="0000FF"/>
            <w:spacing w:val="0"/>
            <w:w w:val="100"/>
            <w:sz w:val="18"/>
            <w:szCs w:val="18"/>
            <w:u w:val="single" w:color="0000FF"/>
          </w:rPr>
          <w:t>www.international-marine.com</w:t>
        </w:r>
        <w:r>
          <w:rPr>
            <w:rFonts w:ascii="Arial" w:hAnsi="Arial" w:cs="Arial" w:eastAsia="Arial"/>
            <w:color w:val="0000FF"/>
            <w:spacing w:val="0"/>
            <w:w w:val="100"/>
            <w:sz w:val="18"/>
            <w:szCs w:val="18"/>
          </w:rPr>
        </w:r>
        <w:r>
          <w:rPr>
            <w:rFonts w:ascii="Arial" w:hAnsi="Arial" w:cs="Arial" w:eastAsia="Arial"/>
            <w:color w:val="000000"/>
            <w:spacing w:val="0"/>
            <w:w w:val="100"/>
            <w:sz w:val="18"/>
            <w:szCs w:val="18"/>
          </w:rPr>
        </w:r>
      </w:hyperlink>
    </w:p>
    <w:sectPr>
      <w:type w:val="continuous"/>
      <w:pgSz w:w="11900" w:h="16820"/>
      <w:pgMar w:top="1040" w:bottom="1780" w:left="620" w:right="520"/>
      <w:cols w:num="2" w:equalWidth="0">
        <w:col w:w="998" w:space="1274"/>
        <w:col w:w="848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498.23999pt;margin-top:751.900024pt;width:60.22pt;height:72pt;mso-position-horizontal-relative:page;mso-position-vertical-relative:page;z-index:-353" type="#_x0000_t75">
          <v:imagedata r:id="rId1" o:title=""/>
        </v:shape>
      </w:pict>
    </w:r>
    <w:r>
      <w:rPr/>
      <w:pict>
        <v:group style="position:absolute;margin-left:36.860001pt;margin-top:780.25pt;width:455.53pt;height:.1pt;mso-position-horizontal-relative:page;mso-position-vertical-relative:page;z-index:-352" coordorigin="737,15605" coordsize="9111,2">
          <v:shape style="position:absolute;left:737;top:15605;width:9111;height:2" coordorigin="737,15605" coordsize="9111,0" path="m737,15605l9848,15605e" filled="f" stroked="t" strokeweight=".5pt" strokecolor="#A9A9A9">
            <v:path arrowok="t"/>
          </v:shape>
          <w10:wrap type="none"/>
        </v:group>
      </w:pict>
    </w:r>
    <w:r>
      <w:rPr/>
      <w:pict>
        <v:shape style="position:absolute;margin-left:35.857868pt;margin-top:764.050842pt;width:96.309991pt;height:52.800713pt;mso-position-horizontal-relative:page;mso-position-vertical-relative:page;z-index:-351" type="#_x0000_t202" filled="f" stroked="f">
          <v:textbox inset="0,0,0,0">
            <w:txbxContent>
              <w:p>
                <w:pPr>
                  <w:spacing w:before="0" w:after="0" w:line="265" w:lineRule="exact"/>
                  <w:ind w:left="40" w:right="-56"/>
                  <w:jc w:val="left"/>
                  <w:rPr>
                    <w:rFonts w:ascii="Arial" w:hAnsi="Arial" w:cs="Arial" w:eastAsia="Arial"/>
                    <w:sz w:val="24"/>
                    <w:szCs w:val="24"/>
                  </w:rPr>
                </w:pPr>
                <w:r>
                  <w:rPr>
                    <w:rFonts w:ascii="Arial" w:hAnsi="Arial" w:cs="Arial" w:eastAsia="Arial"/>
                    <w:b/>
                    <w:bCs/>
                    <w:color w:val="7F7F7F"/>
                    <w:spacing w:val="0"/>
                    <w:w w:val="100"/>
                    <w:sz w:val="24"/>
                    <w:szCs w:val="24"/>
                  </w:rPr>
                  <w:t>Marine</w:t>
                </w:r>
                <w:r>
                  <w:rPr>
                    <w:rFonts w:ascii="Arial" w:hAnsi="Arial" w:cs="Arial" w:eastAsia="Arial"/>
                    <w:b/>
                    <w:bCs/>
                    <w:color w:val="7F7F7F"/>
                    <w:spacing w:val="-1"/>
                    <w:w w:val="100"/>
                    <w:sz w:val="24"/>
                    <w:szCs w:val="24"/>
                  </w:rPr>
                  <w:t> </w:t>
                </w:r>
                <w:r>
                  <w:rPr>
                    <w:rFonts w:ascii="Arial" w:hAnsi="Arial" w:cs="Arial" w:eastAsia="Arial"/>
                    <w:b/>
                    <w:bCs/>
                    <w:color w:val="7F7F7F"/>
                    <w:spacing w:val="0"/>
                    <w:w w:val="100"/>
                    <w:sz w:val="24"/>
                    <w:szCs w:val="24"/>
                  </w:rPr>
                  <w:t>Coatings</w:t>
                </w:r>
                <w:r>
                  <w:rPr>
                    <w:rFonts w:ascii="Arial" w:hAnsi="Arial" w:cs="Arial" w:eastAsia="Arial"/>
                    <w:color w:val="000000"/>
                    <w:spacing w:val="0"/>
                    <w:w w:val="100"/>
                    <w:sz w:val="24"/>
                    <w:szCs w:val="24"/>
                  </w:rPr>
                </w:r>
              </w:p>
              <w:p>
                <w:pPr>
                  <w:spacing w:before="3" w:after="0" w:line="100" w:lineRule="exact"/>
                  <w:jc w:val="left"/>
                  <w:rPr>
                    <w:sz w:val="10"/>
                    <w:szCs w:val="10"/>
                  </w:rPr>
                </w:pPr>
                <w:r>
                  <w:rPr>
                    <w:sz w:val="10"/>
                    <w:szCs w:val="10"/>
                  </w:rPr>
                </w:r>
              </w:p>
              <w:p>
                <w:pPr>
                  <w:spacing w:before="0" w:after="0" w:line="222" w:lineRule="auto"/>
                  <w:ind w:left="20" w:right="604"/>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第</w:t>
                </w:r>
                <w:r>
                  <w:rPr>
                    <w:rFonts w:ascii="Arial Unicode MS" w:hAnsi="Arial Unicode MS" w:cs="Arial Unicode MS" w:eastAsia="Arial Unicode MS"/>
                    <w:spacing w:val="0"/>
                    <w:w w:val="100"/>
                    <w:sz w:val="14"/>
                    <w:szCs w:val="14"/>
                  </w:rPr>
                  <w:t> </w:t>
                </w:r>
                <w:r>
                  <w:rPr/>
                  <w:fldChar w:fldCharType="begin"/>
                </w:r>
                <w:r>
                  <w:rPr>
                    <w:rFonts w:ascii="Arial Unicode MS" w:hAnsi="Arial Unicode MS" w:cs="Arial Unicode MS" w:eastAsia="Arial Unicode MS"/>
                    <w:spacing w:val="0"/>
                    <w:w w:val="100"/>
                    <w:sz w:val="14"/>
                    <w:szCs w:val="14"/>
                  </w:rPr>
                  <w:instrText> PAGE </w:instrText>
                </w:r>
                <w:r>
                  <w:rPr/>
                  <w:fldChar w:fldCharType="separate"/>
                </w:r>
                <w:r>
                  <w:rPr/>
                  <w:t>1</w:t>
                </w:r>
                <w:r>
                  <w:rPr/>
                  <w:fldChar w:fldCharType="end"/>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页，共</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发行日期：2009/7/7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资料来源423</w:t>
                </w:r>
              </w:p>
            </w:txbxContent>
          </v:textbox>
          <w10:wrap type="none"/>
        </v:shape>
      </w:pict>
    </w:r>
    <w:r>
      <w:rPr>
        <w:sz w:val="20"/>
        <w:szCs w:val="20"/>
      </w:rPr>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355" type="#_x0000_t75">
          <v:imagedata r:id="rId1" o:title=""/>
        </v:shape>
      </w:pict>
    </w:r>
    <w:r>
      <w:rPr/>
      <w:pict>
        <v:shapetype id="_x0000_t202" o:spt="202" coordsize="21600,21600" path="m,l,21600r21600,l21600,xe">
          <v:stroke joinstyle="miter"/>
          <v:path gradientshapeok="t" o:connecttype="rect"/>
        </v:shapetype>
        <v:shape style="position:absolute;margin-left:414.480896pt;margin-top:13.964228pt;width:149.546903pt;height:39.970127pt;mso-position-horizontal-relative:page;mso-position-vertical-relative:page;z-index:-354"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Intergard</w:t>
                </w:r>
                <w:r>
                  <w:rPr>
                    <w:rFonts w:ascii="Arial Unicode MS" w:hAnsi="Arial Unicode MS" w:cs="Arial Unicode MS" w:eastAsia="Arial Unicode MS"/>
                    <w:spacing w:val="-19"/>
                    <w:w w:val="100"/>
                    <w:position w:val="2"/>
                    <w:sz w:val="48"/>
                    <w:szCs w:val="48"/>
                  </w:rPr>
                  <w:t> </w:t>
                </w:r>
                <w:r>
                  <w:rPr>
                    <w:rFonts w:ascii="Arial Unicode MS" w:hAnsi="Arial Unicode MS" w:cs="Arial Unicode MS" w:eastAsia="Arial Unicode MS"/>
                    <w:spacing w:val="0"/>
                    <w:w w:val="100"/>
                    <w:position w:val="2"/>
                    <w:sz w:val="48"/>
                    <w:szCs w:val="48"/>
                  </w:rPr>
                  <w:t>403</w:t>
                </w:r>
                <w:r>
                  <w:rPr>
                    <w:rFonts w:ascii="Arial Unicode MS" w:hAnsi="Arial Unicode MS" w:cs="Arial Unicode MS" w:eastAsia="Arial Unicode MS"/>
                    <w:spacing w:val="0"/>
                    <w:w w:val="100"/>
                    <w:position w:val="0"/>
                    <w:sz w:val="48"/>
                    <w:szCs w:val="48"/>
                  </w:rPr>
                </w:r>
              </w:p>
              <w:p>
                <w:pPr>
                  <w:spacing w:before="0" w:after="0" w:line="262" w:lineRule="exact"/>
                  <w:ind w:left="1871"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环氧防锈漆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350" type="#_x0000_t75">
          <v:imagedata r:id="rId1" o:title=""/>
        </v:shape>
      </w:pict>
    </w:r>
    <w:r>
      <w:rPr/>
      <w:pict>
        <v:shape style="position:absolute;margin-left:414.480896pt;margin-top:13.964228pt;width:149.546903pt;height:39.970127pt;mso-position-horizontal-relative:page;mso-position-vertical-relative:page;z-index:-349"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Intergard</w:t>
                </w:r>
                <w:r>
                  <w:rPr>
                    <w:rFonts w:ascii="Arial Unicode MS" w:hAnsi="Arial Unicode MS" w:cs="Arial Unicode MS" w:eastAsia="Arial Unicode MS"/>
                    <w:spacing w:val="-19"/>
                    <w:w w:val="100"/>
                    <w:position w:val="2"/>
                    <w:sz w:val="48"/>
                    <w:szCs w:val="48"/>
                  </w:rPr>
                  <w:t> </w:t>
                </w:r>
                <w:r>
                  <w:rPr>
                    <w:rFonts w:ascii="Arial Unicode MS" w:hAnsi="Arial Unicode MS" w:cs="Arial Unicode MS" w:eastAsia="Arial Unicode MS"/>
                    <w:spacing w:val="0"/>
                    <w:w w:val="100"/>
                    <w:position w:val="2"/>
                    <w:sz w:val="48"/>
                    <w:szCs w:val="48"/>
                  </w:rPr>
                  <w:t>403</w:t>
                </w:r>
                <w:r>
                  <w:rPr>
                    <w:rFonts w:ascii="Arial Unicode MS" w:hAnsi="Arial Unicode MS" w:cs="Arial Unicode MS" w:eastAsia="Arial Unicode MS"/>
                    <w:spacing w:val="0"/>
                    <w:w w:val="100"/>
                    <w:position w:val="0"/>
                    <w:sz w:val="48"/>
                    <w:szCs w:val="48"/>
                  </w:rPr>
                </w:r>
              </w:p>
              <w:p>
                <w:pPr>
                  <w:spacing w:before="0" w:after="0" w:line="262" w:lineRule="exact"/>
                  <w:ind w:left="1871"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环氧防锈漆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348" type="#_x0000_t75">
          <v:imagedata r:id="rId1" o:title=""/>
        </v:shape>
      </w:pict>
    </w:r>
    <w:r>
      <w:rPr/>
      <w:pict>
        <v:shape style="position:absolute;margin-left:414.480896pt;margin-top:13.964228pt;width:149.546903pt;height:39.970127pt;mso-position-horizontal-relative:page;mso-position-vertical-relative:page;z-index:-347"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Intergard</w:t>
                </w:r>
                <w:r>
                  <w:rPr>
                    <w:rFonts w:ascii="Arial Unicode MS" w:hAnsi="Arial Unicode MS" w:cs="Arial Unicode MS" w:eastAsia="Arial Unicode MS"/>
                    <w:spacing w:val="-19"/>
                    <w:w w:val="100"/>
                    <w:position w:val="2"/>
                    <w:sz w:val="48"/>
                    <w:szCs w:val="48"/>
                  </w:rPr>
                  <w:t> </w:t>
                </w:r>
                <w:r>
                  <w:rPr>
                    <w:rFonts w:ascii="Arial Unicode MS" w:hAnsi="Arial Unicode MS" w:cs="Arial Unicode MS" w:eastAsia="Arial Unicode MS"/>
                    <w:spacing w:val="0"/>
                    <w:w w:val="100"/>
                    <w:position w:val="2"/>
                    <w:sz w:val="48"/>
                    <w:szCs w:val="48"/>
                  </w:rPr>
                  <w:t>403</w:t>
                </w:r>
                <w:r>
                  <w:rPr>
                    <w:rFonts w:ascii="Arial Unicode MS" w:hAnsi="Arial Unicode MS" w:cs="Arial Unicode MS" w:eastAsia="Arial Unicode MS"/>
                    <w:spacing w:val="0"/>
                    <w:w w:val="100"/>
                    <w:position w:val="0"/>
                    <w:sz w:val="48"/>
                    <w:szCs w:val="48"/>
                  </w:rPr>
                </w:r>
              </w:p>
              <w:p>
                <w:pPr>
                  <w:spacing w:before="0" w:after="0" w:line="262" w:lineRule="exact"/>
                  <w:ind w:left="1871"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环氧防锈漆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0" w:type="dxa"/>
        <w:bottom w:w="0" w:type="dxa"/>
        <w:right w:w="0" w:type="dxa"/>
      </w:tblCellMar>
    </w:tblPr>
  </w:style>
  <w:style w:type="numbering" w:default="1" w:styleId="NoList">
    <w:name w:val="No List"/>
    <w:uiPriority w:val="99"/>
    <w:semiHidden/>
    <w:unhideWhenUsed/>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image" Target="media/image5.jpg"/><Relationship Id="rId10" Type="http://schemas.openxmlformats.org/officeDocument/2006/relationships/hyperlink" Target="http://www.international-marin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PdfGen</dc:creator>
  <cp:keywords>Chinese Simplified Marine Coatings Intergard 403 环氧防锈漆 Intergard 1 07/07/2009 Intergard 403 I 423 chi-s</cp:keywords>
  <dc:subject>Technical Datasheet</dc:subject>
  <dc:title>Intergard 403</dc:title>
  <dcterms:created xsi:type="dcterms:W3CDTF">2015-07-27T15:49:36Z</dcterms:created>
  <dcterms:modified xsi:type="dcterms:W3CDTF">2015-07-27T15:49:36Z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2009-07-08T00:00:00Z</vt:filetime>
  </property>
  <property fmtid="{D5CDD505-2E9C-101B-9397-08002B2CF9AE}" pid="3" name="LastSaved">
    <vt:filetime>2015-07-27T00:00:00Z</vt:filetime>
  </property>
</Properties>
</file>